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F" w:rsidRPr="00F23139" w:rsidRDefault="004076EF" w:rsidP="00B34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139">
        <w:rPr>
          <w:rFonts w:ascii="Times New Roman" w:hAnsi="Times New Roman" w:cs="Times New Roman"/>
          <w:b/>
          <w:sz w:val="36"/>
          <w:szCs w:val="36"/>
        </w:rPr>
        <w:t>Term Project</w:t>
      </w:r>
    </w:p>
    <w:p w:rsidR="00B34F7D" w:rsidRPr="00F23139" w:rsidRDefault="00D24FD4" w:rsidP="00B3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merger is a legal agreement between two companies to begin a process during which their operations, assets, liabilities, and equity will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be combined</w:t>
      </w:r>
      <w:r>
        <w:rPr>
          <w:rFonts w:ascii="Times New Roman" w:hAnsi="Times New Roman" w:cs="Times New Roman"/>
          <w:sz w:val="24"/>
          <w:szCs w:val="24"/>
        </w:rPr>
        <w:t xml:space="preserve">. After a merger, the identities of the two companies will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be eliminated</w:t>
      </w:r>
      <w:r w:rsidR="00A71D02" w:rsidRPr="00A71D02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emerging brand will have a new name. However, previous long-term agreements and contracts will be included in this transition except decided otherwise. For a merger to </w:t>
      </w:r>
      <w:r w:rsidR="00914421">
        <w:rPr>
          <w:rFonts w:ascii="Times New Roman" w:hAnsi="Times New Roman" w:cs="Times New Roman"/>
          <w:sz w:val="24"/>
          <w:szCs w:val="24"/>
        </w:rPr>
        <w:t>occur</w:t>
      </w:r>
      <w:r>
        <w:rPr>
          <w:rFonts w:ascii="Times New Roman" w:hAnsi="Times New Roman" w:cs="Times New Roman"/>
          <w:sz w:val="24"/>
          <w:szCs w:val="24"/>
        </w:rPr>
        <w:t xml:space="preserve"> there needs to be a voting process during which attaining the required votes will be construed as an approval from the two sets of shareholders of the companies involved in the merger. The majority </w:t>
      </w:r>
      <w:r w:rsidR="00914421">
        <w:rPr>
          <w:rFonts w:ascii="Times New Roman" w:hAnsi="Times New Roman" w:cs="Times New Roman"/>
          <w:sz w:val="24"/>
          <w:szCs w:val="24"/>
        </w:rPr>
        <w:t>vote determines</w:t>
      </w:r>
      <w:r>
        <w:rPr>
          <w:rFonts w:ascii="Times New Roman" w:hAnsi="Times New Roman" w:cs="Times New Roman"/>
          <w:sz w:val="24"/>
          <w:szCs w:val="24"/>
        </w:rPr>
        <w:t xml:space="preserve"> the final decision.</w:t>
      </w:r>
    </w:p>
    <w:p w:rsidR="004076EF" w:rsidRPr="00F23139" w:rsidRDefault="00C4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rate of global mergers and acquisitions has increased at an exponential rate over the years. The reports indicate that after mergers, about 7% of the emerging firms are reported to perform below expectations within the first year. Another feature that </w:t>
      </w:r>
      <w:r w:rsidR="00914421">
        <w:rPr>
          <w:rFonts w:ascii="Times New Roman" w:hAnsi="Times New Roman" w:cs="Times New Roman"/>
          <w:sz w:val="24"/>
          <w:szCs w:val="24"/>
        </w:rPr>
        <w:t>characterizes</w:t>
      </w:r>
      <w:r>
        <w:rPr>
          <w:rFonts w:ascii="Times New Roman" w:hAnsi="Times New Roman" w:cs="Times New Roman"/>
          <w:sz w:val="24"/>
          <w:szCs w:val="24"/>
        </w:rPr>
        <w:t xml:space="preserve"> mergers is the low value of the firm’s profit after tax (PAT) which is usually lower </w:t>
      </w:r>
      <w:r w:rsidR="00914421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the value of the entire PATs from the past year records.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 xml:space="preserve">, after mergers, the new firm may need to function optimally for as long as five years before the average margins which match up to the industry’s average </w:t>
      </w:r>
      <w:r w:rsidR="00A71D02" w:rsidRPr="00A71D02">
        <w:rPr>
          <w:rFonts w:ascii="Times New Roman" w:hAnsi="Times New Roman" w:cs="Times New Roman"/>
          <w:noProof/>
          <w:sz w:val="24"/>
          <w:szCs w:val="24"/>
        </w:rPr>
        <w:t>are</w:t>
      </w:r>
      <w:r w:rsidRPr="00A71D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4421" w:rsidRPr="00A71D02">
        <w:rPr>
          <w:rFonts w:ascii="Times New Roman" w:hAnsi="Times New Roman" w:cs="Times New Roman"/>
          <w:noProof/>
          <w:sz w:val="24"/>
          <w:szCs w:val="24"/>
        </w:rPr>
        <w:t>realized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6EF" w:rsidRPr="00F23139" w:rsidRDefault="005D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Mergers occur due to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a number of</w:t>
      </w:r>
      <w:r>
        <w:rPr>
          <w:rFonts w:ascii="Times New Roman" w:hAnsi="Times New Roman" w:cs="Times New Roman"/>
          <w:sz w:val="24"/>
          <w:szCs w:val="24"/>
        </w:rPr>
        <w:t xml:space="preserve"> reasons such as:</w:t>
      </w:r>
    </w:p>
    <w:p w:rsidR="004076EF" w:rsidRPr="00F23139" w:rsidRDefault="005D57C3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occurrence of regulatory and technological changes which influence the industry’s economy</w:t>
      </w:r>
      <w:r w:rsidR="004076EF" w:rsidRPr="00F23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EF" w:rsidRPr="00F23139" w:rsidRDefault="005D57C3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 for synergies to boost production and distribution, economies of scale, </w:t>
      </w:r>
      <w:r w:rsidR="00914421">
        <w:rPr>
          <w:rFonts w:ascii="Times New Roman" w:hAnsi="Times New Roman" w:cs="Times New Roman"/>
          <w:sz w:val="24"/>
          <w:szCs w:val="24"/>
        </w:rPr>
        <w:t>procurement,</w:t>
      </w:r>
      <w:r>
        <w:rPr>
          <w:rFonts w:ascii="Times New Roman" w:hAnsi="Times New Roman" w:cs="Times New Roman"/>
          <w:sz w:val="24"/>
          <w:szCs w:val="24"/>
        </w:rPr>
        <w:t xml:space="preserve"> and reduction in SG&amp;A</w:t>
      </w:r>
      <w:r w:rsidR="004076EF" w:rsidRPr="00F23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6EF" w:rsidRPr="00F23139" w:rsidRDefault="005D57C3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need for financial synergies 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>in view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achieving cheaper financing costs and financial security</w:t>
      </w:r>
      <w:r w:rsidR="00A74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6EF" w:rsidRPr="00F23139" w:rsidRDefault="005D57C3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enable value transfers in areas such as tax, monopoly 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>rent</w:t>
      </w:r>
      <w:r w:rsidR="00A71D02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union busting, 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which 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>are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companies that </w:t>
      </w:r>
      <w:r w:rsidR="00DD5D80">
        <w:rPr>
          <w:rFonts w:ascii="Times New Roman" w:eastAsia="Times New Roman" w:hAnsi="Times New Roman" w:cs="Times New Roman"/>
          <w:sz w:val="24"/>
          <w:szCs w:val="24"/>
        </w:rPr>
        <w:t>are highly</w:t>
      </w:r>
      <w:r w:rsidRPr="00A71D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leveraged</w:t>
      </w:r>
      <w:r w:rsidR="00E727DA" w:rsidRPr="00F23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27DA" w:rsidRPr="00F23139" w:rsidRDefault="00DD5D80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5D57C3" w:rsidRPr="00A71D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arket timing to achieve </w:t>
      </w:r>
      <w:r w:rsidR="00A71D02" w:rsidRPr="00A71D02">
        <w:rPr>
          <w:rFonts w:ascii="Times New Roman" w:eastAsia="Times New Roman" w:hAnsi="Times New Roman" w:cs="Times New Roman"/>
          <w:noProof/>
          <w:sz w:val="24"/>
          <w:szCs w:val="24"/>
        </w:rPr>
        <w:t>low</w:t>
      </w:r>
      <w:r w:rsidR="005D57C3" w:rsidRPr="00A71D02">
        <w:rPr>
          <w:rFonts w:ascii="Times New Roman" w:eastAsia="Times New Roman" w:hAnsi="Times New Roman" w:cs="Times New Roman"/>
          <w:noProof/>
          <w:sz w:val="24"/>
          <w:szCs w:val="24"/>
        </w:rPr>
        <w:t>er stock prices</w:t>
      </w:r>
      <w:r w:rsidR="00E727DA" w:rsidRPr="00A71D0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E727DA" w:rsidRPr="00F2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7DA" w:rsidRPr="00F23139" w:rsidRDefault="00E727DA" w:rsidP="0040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eastAsia="Times New Roman" w:hAnsi="Times New Roman" w:cs="Times New Roman"/>
          <w:sz w:val="24"/>
          <w:szCs w:val="24"/>
        </w:rPr>
        <w:t xml:space="preserve">Hubris. </w:t>
      </w:r>
    </w:p>
    <w:p w:rsidR="00E727DA" w:rsidRPr="00F23139" w:rsidRDefault="00FF5818" w:rsidP="00E727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this term project is to develop a theoretical structure that will aid the comprehension of acquisitions regarding the following aspects:</w:t>
      </w:r>
    </w:p>
    <w:p w:rsidR="00E727DA" w:rsidRPr="00F23139" w:rsidRDefault="00E727DA" w:rsidP="00E72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hAnsi="Times New Roman" w:cs="Times New Roman"/>
          <w:sz w:val="24"/>
          <w:szCs w:val="24"/>
        </w:rPr>
        <w:t>Accounting</w:t>
      </w:r>
    </w:p>
    <w:p w:rsidR="00E727DA" w:rsidRPr="00F23139" w:rsidRDefault="00E727DA" w:rsidP="00E72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hAnsi="Times New Roman" w:cs="Times New Roman"/>
          <w:sz w:val="24"/>
          <w:szCs w:val="24"/>
        </w:rPr>
        <w:t>Valuation</w:t>
      </w:r>
    </w:p>
    <w:p w:rsidR="00E727DA" w:rsidRPr="00F23139" w:rsidRDefault="00E727DA" w:rsidP="00E72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hAnsi="Times New Roman" w:cs="Times New Roman"/>
          <w:sz w:val="24"/>
          <w:szCs w:val="24"/>
        </w:rPr>
        <w:t>Legal and tax</w:t>
      </w:r>
    </w:p>
    <w:p w:rsidR="00AE2945" w:rsidRPr="00F23139" w:rsidRDefault="00FF5818" w:rsidP="00AE29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</w:t>
      </w:r>
      <w:r w:rsidR="00AE2945" w:rsidRPr="00F23139">
        <w:rPr>
          <w:rFonts w:ascii="Times New Roman" w:hAnsi="Times New Roman" w:cs="Times New Roman"/>
          <w:b/>
          <w:sz w:val="24"/>
          <w:szCs w:val="24"/>
          <w:u w:val="single"/>
        </w:rPr>
        <w:t>irst part of this project</w:t>
      </w:r>
      <w:r w:rsidR="000E4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(due before June class starts)</w:t>
      </w:r>
    </w:p>
    <w:p w:rsidR="00962254" w:rsidRPr="00F23139" w:rsidRDefault="00FF5818" w:rsidP="00962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10Q of </w:t>
      </w:r>
      <w:r w:rsidR="0091442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two firms to be </w:t>
      </w:r>
      <w:r w:rsidR="00914421">
        <w:rPr>
          <w:rFonts w:ascii="Times New Roman" w:hAnsi="Times New Roman" w:cs="Times New Roman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>, and carry out a ratio analysis to determine the financial status of both firms</w:t>
      </w:r>
      <w:r w:rsidR="00F23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254" w:rsidRPr="00F23139" w:rsidRDefault="00FF5818" w:rsidP="00962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 the values for the stock prices for both firms and calculate the monthly stock returns over the past five years. Analyze the stock performance </w:t>
      </w:r>
      <w:r w:rsidR="00A71D02">
        <w:rPr>
          <w:rFonts w:ascii="Times New Roman" w:hAnsi="Times New Roman" w:cs="Times New Roman"/>
          <w:noProof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both firms</w:t>
      </w:r>
      <w:r w:rsidR="00962254" w:rsidRPr="00F23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254" w:rsidRPr="00F23139" w:rsidRDefault="006102CC" w:rsidP="00962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management teams, board structure, ownership composition, and anti-takeover me</w:t>
      </w:r>
      <w:r w:rsidR="00DD5D80">
        <w:rPr>
          <w:rFonts w:ascii="Times New Roman" w:hAnsi="Times New Roman" w:cs="Times New Roman"/>
          <w:sz w:val="24"/>
          <w:szCs w:val="24"/>
        </w:rPr>
        <w:t xml:space="preserve">asures such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4421">
        <w:rPr>
          <w:rFonts w:ascii="Times New Roman" w:hAnsi="Times New Roman" w:cs="Times New Roman"/>
          <w:sz w:val="24"/>
          <w:szCs w:val="24"/>
        </w:rPr>
        <w:t>sta</w:t>
      </w:r>
      <w:r w:rsidR="00DD5D80">
        <w:rPr>
          <w:rFonts w:ascii="Times New Roman" w:hAnsi="Times New Roman" w:cs="Times New Roman"/>
          <w:sz w:val="24"/>
          <w:szCs w:val="24"/>
        </w:rPr>
        <w:t>ggered</w:t>
      </w:r>
      <w:r>
        <w:rPr>
          <w:rFonts w:ascii="Times New Roman" w:hAnsi="Times New Roman" w:cs="Times New Roman"/>
          <w:sz w:val="24"/>
          <w:szCs w:val="24"/>
        </w:rPr>
        <w:t xml:space="preserve"> board. In your opinion, will you say the two firms </w:t>
      </w:r>
      <w:r w:rsidRPr="00A71D02">
        <w:rPr>
          <w:rFonts w:ascii="Times New Roman" w:hAnsi="Times New Roman" w:cs="Times New Roman"/>
          <w:noProof/>
          <w:sz w:val="24"/>
          <w:szCs w:val="24"/>
        </w:rPr>
        <w:t>have the capacity to</w:t>
      </w:r>
      <w:r>
        <w:rPr>
          <w:rFonts w:ascii="Times New Roman" w:hAnsi="Times New Roman" w:cs="Times New Roman"/>
          <w:sz w:val="24"/>
          <w:szCs w:val="24"/>
        </w:rPr>
        <w:t xml:space="preserve"> resist a hostile takeover attempt?</w:t>
      </w:r>
      <w:r w:rsidR="0069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39" w:rsidRPr="00F23139" w:rsidRDefault="006102CC" w:rsidP="00F23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the analysis above, do you observe signs of weakness in the </w:t>
      </w:r>
      <w:r w:rsidR="00DD5D80">
        <w:rPr>
          <w:rFonts w:ascii="Times New Roman" w:hAnsi="Times New Roman" w:cs="Times New Roman"/>
          <w:sz w:val="24"/>
          <w:szCs w:val="24"/>
        </w:rPr>
        <w:t xml:space="preserve">target </w:t>
      </w:r>
      <w:r>
        <w:rPr>
          <w:rFonts w:ascii="Times New Roman" w:hAnsi="Times New Roman" w:cs="Times New Roman"/>
          <w:sz w:val="24"/>
          <w:szCs w:val="24"/>
        </w:rPr>
        <w:t>firm that can expose it to being bought out in the future?</w:t>
      </w:r>
    </w:p>
    <w:p w:rsidR="00962254" w:rsidRPr="00F23139" w:rsidRDefault="006102CC" w:rsidP="00962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962254" w:rsidRPr="00F23139">
        <w:rPr>
          <w:rFonts w:ascii="Times New Roman" w:hAnsi="Times New Roman" w:cs="Times New Roman"/>
          <w:sz w:val="24"/>
          <w:szCs w:val="24"/>
        </w:rPr>
        <w:t>filings w</w:t>
      </w:r>
      <w:r w:rsidR="00F23139" w:rsidRPr="00F23139">
        <w:rPr>
          <w:rFonts w:ascii="Times New Roman" w:hAnsi="Times New Roman" w:cs="Times New Roman"/>
          <w:sz w:val="24"/>
          <w:szCs w:val="24"/>
        </w:rPr>
        <w:t xml:space="preserve">ith SEC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="00F23139" w:rsidRPr="00F23139">
        <w:rPr>
          <w:rFonts w:ascii="Times New Roman" w:hAnsi="Times New Roman" w:cs="Times New Roman"/>
          <w:sz w:val="24"/>
          <w:szCs w:val="24"/>
        </w:rPr>
        <w:t xml:space="preserve"> the M&amp;A deal. </w:t>
      </w:r>
    </w:p>
    <w:p w:rsidR="00F23139" w:rsidRPr="00F23139" w:rsidRDefault="006102CC" w:rsidP="00F23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673DC">
        <w:rPr>
          <w:rFonts w:ascii="Times New Roman" w:hAnsi="Times New Roman" w:cs="Times New Roman"/>
          <w:sz w:val="24"/>
          <w:szCs w:val="24"/>
        </w:rPr>
        <w:t>have been done on</w:t>
      </w:r>
      <w:r>
        <w:rPr>
          <w:rFonts w:ascii="Times New Roman" w:hAnsi="Times New Roman" w:cs="Times New Roman"/>
          <w:sz w:val="24"/>
          <w:szCs w:val="24"/>
        </w:rPr>
        <w:t xml:space="preserve"> the buy side before the merger agreement is signed</w:t>
      </w:r>
      <w:r w:rsidR="00F23139" w:rsidRPr="00F23139">
        <w:rPr>
          <w:rFonts w:ascii="Times New Roman" w:hAnsi="Times New Roman" w:cs="Times New Roman"/>
          <w:sz w:val="24"/>
          <w:szCs w:val="24"/>
        </w:rPr>
        <w:t>?</w:t>
      </w:r>
    </w:p>
    <w:p w:rsidR="00F23139" w:rsidRPr="00F23139" w:rsidRDefault="00E673DC" w:rsidP="00F23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been done on </w:t>
      </w:r>
      <w:r w:rsidR="00914421">
        <w:rPr>
          <w:rFonts w:ascii="Times New Roman" w:hAnsi="Times New Roman" w:cs="Times New Roman"/>
          <w:sz w:val="24"/>
          <w:szCs w:val="24"/>
        </w:rPr>
        <w:t>the sell-side before the merger agreement is signed</w:t>
      </w:r>
      <w:r w:rsidR="00F23139" w:rsidRPr="00F231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3139" w:rsidRPr="00F23139" w:rsidRDefault="00914421" w:rsidP="00962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of the companies battling ongoing lawsuits</w:t>
      </w:r>
      <w:r w:rsidR="00DD5D80">
        <w:rPr>
          <w:rFonts w:ascii="Times New Roman" w:hAnsi="Times New Roman" w:cs="Times New Roman"/>
          <w:sz w:val="24"/>
          <w:szCs w:val="24"/>
        </w:rPr>
        <w:t xml:space="preserve"> before and after the merger</w:t>
      </w:r>
      <w:r w:rsidR="00AA661C">
        <w:rPr>
          <w:rFonts w:ascii="Times New Roman" w:hAnsi="Times New Roman" w:cs="Times New Roman"/>
          <w:sz w:val="24"/>
          <w:szCs w:val="24"/>
        </w:rPr>
        <w:t>?</w:t>
      </w:r>
    </w:p>
    <w:p w:rsidR="00F23139" w:rsidRPr="00F23139" w:rsidRDefault="00F23139" w:rsidP="00F231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hAnsi="Times New Roman" w:cs="Times New Roman"/>
          <w:sz w:val="24"/>
          <w:szCs w:val="24"/>
        </w:rPr>
        <w:t xml:space="preserve">You may refer to the following website for information. </w:t>
      </w:r>
    </w:p>
    <w:p w:rsidR="00914421" w:rsidRDefault="00EE06B2" w:rsidP="00914421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F23139" w:rsidRPr="00F23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Federal Trade Commission: Bureau of Competition</w:t>
        </w:r>
      </w:hyperlink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6" w:history="1">
        <w:r w:rsidR="00914421" w:rsidRPr="004645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http://www.ftc.gov/about-ftc/bureaus-offices/bureau-competitionThe</w:t>
        </w:r>
      </w:hyperlink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FTC’s antitrust department is primarily aimed at preventing the business practices that limit competition, such as monopolistic practices, attempts to implement restraint of trade, </w:t>
      </w:r>
      <w:r w:rsidR="00914421" w:rsidRPr="00A71D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attempts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monopolize the markets, disruption of mergers and </w:t>
      </w:r>
      <w:r w:rsidR="00914421" w:rsidRPr="00A71D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competitions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could potentially hinder competition. </w:t>
      </w:r>
    </w:p>
    <w:p w:rsidR="00914421" w:rsidRPr="00914421" w:rsidRDefault="00914421" w:rsidP="0091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http://www.ftc.gov/about-ftc/bureaus-offices/bureau-competition</w:t>
      </w:r>
    </w:p>
    <w:p w:rsidR="00F23139" w:rsidRPr="00FF2252" w:rsidRDefault="00EE06B2" w:rsidP="00F23139">
      <w:pPr>
        <w:numPr>
          <w:ilvl w:val="1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23139" w:rsidRPr="00A71D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Statistics</w:t>
        </w:r>
        <w:r w:rsidR="00F23139" w:rsidRPr="00F23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 Mergers &amp; Acquisitions (M&amp;A)</w:t>
        </w:r>
      </w:hyperlink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23139" w:rsidRPr="00A71D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Courtesy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Institute of Mergers, Acquisitions</w:t>
      </w:r>
      <w:r w:rsidR="00A71D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139" w:rsidRPr="00A71D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Alliances.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http://www.imaa-institute.org/statistics-mergers-acquisitions.html</w:t>
      </w:r>
    </w:p>
    <w:p w:rsidR="00F23139" w:rsidRPr="00FF2252" w:rsidRDefault="00EE06B2" w:rsidP="00F23139">
      <w:pPr>
        <w:numPr>
          <w:ilvl w:val="1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F23139" w:rsidRPr="00F23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U.S. Department of Justice: Antitrust Division</w:t>
        </w:r>
      </w:hyperlink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>A source of digitized documents related to the enforcement of antitrust laws, such as policies, guidelines, case filings, speeches, testimony, and press releases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F23139" w:rsidRPr="00F231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http://www.usdoj.gov/atr/</w:t>
        </w:r>
      </w:hyperlink>
      <w:r w:rsidR="00F23139" w:rsidRPr="00F23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3139" w:rsidRPr="00FF2252" w:rsidRDefault="00EE06B2" w:rsidP="00F23139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F23139" w:rsidRPr="00F23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Plain English Guide to Antitrust Laws</w:t>
        </w:r>
      </w:hyperlink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>. Full text of </w:t>
      </w:r>
      <w:r w:rsidR="00F23139" w:rsidRPr="00FF2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Promoting Competition, Protecting Consumers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> booklet from the U.S. Federal Trade Commission (FTC). Visit the </w:t>
      </w:r>
      <w:hyperlink r:id="rId11" w:history="1">
        <w:r w:rsidR="00F23139" w:rsidRPr="00F23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</w:t>
        </w:r>
      </w:hyperlink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view the guidelines for 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mergers and acquisitions, business guidance, </w:t>
      </w:r>
      <w:bookmarkStart w:id="0" w:name="_GoBack"/>
      <w:bookmarkEnd w:id="0"/>
      <w:r w:rsidR="00914421" w:rsidRPr="00A71D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etc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3139" w:rsidRPr="00FF2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http://www.ftc.gov/bc/compguide/index.htm</w:t>
      </w:r>
    </w:p>
    <w:p w:rsidR="00F23139" w:rsidRPr="00F23139" w:rsidRDefault="00914421" w:rsidP="00DE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tax benefits</w:t>
      </w:r>
      <w:r w:rsidR="00E673DC">
        <w:rPr>
          <w:rFonts w:ascii="Times New Roman" w:hAnsi="Times New Roman" w:cs="Times New Roman"/>
          <w:sz w:val="24"/>
          <w:szCs w:val="24"/>
        </w:rPr>
        <w:t xml:space="preserve"> to the acquiring firm from the acquisition</w:t>
      </w:r>
      <w:r w:rsidR="00F23139" w:rsidRPr="00F23139">
        <w:rPr>
          <w:rFonts w:ascii="Times New Roman" w:hAnsi="Times New Roman" w:cs="Times New Roman"/>
          <w:sz w:val="24"/>
          <w:szCs w:val="24"/>
        </w:rPr>
        <w:t>?</w:t>
      </w:r>
    </w:p>
    <w:p w:rsidR="00AE2945" w:rsidRPr="00F23139" w:rsidRDefault="00DE2F19" w:rsidP="00DE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3139">
        <w:rPr>
          <w:rFonts w:ascii="Times New Roman" w:hAnsi="Times New Roman" w:cs="Times New Roman"/>
          <w:sz w:val="24"/>
          <w:szCs w:val="24"/>
        </w:rPr>
        <w:t xml:space="preserve">Write a synopsis of the merger and acquisition case.  </w:t>
      </w:r>
    </w:p>
    <w:p w:rsidR="00DE2F19" w:rsidRPr="00F23139" w:rsidRDefault="00914421" w:rsidP="00DE2F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</w:t>
      </w:r>
      <w:r w:rsidR="00DE2F19" w:rsidRPr="00F23139">
        <w:rPr>
          <w:rFonts w:ascii="Times New Roman" w:hAnsi="Times New Roman" w:cs="Times New Roman"/>
          <w:b/>
          <w:sz w:val="24"/>
          <w:szCs w:val="24"/>
          <w:u w:val="single"/>
        </w:rPr>
        <w:t>econd part of this project</w:t>
      </w:r>
      <w:r w:rsidR="00AA661C">
        <w:rPr>
          <w:rFonts w:ascii="Times New Roman" w:hAnsi="Times New Roman" w:cs="Times New Roman"/>
          <w:b/>
          <w:sz w:val="24"/>
          <w:szCs w:val="24"/>
          <w:u w:val="single"/>
        </w:rPr>
        <w:t>: valuation</w:t>
      </w:r>
      <w:r w:rsidR="000E4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(due by the end of the semester)</w:t>
      </w:r>
    </w:p>
    <w:p w:rsidR="00DE2F19" w:rsidRDefault="00914421" w:rsidP="00DE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 using the WSP (chapters 4 and 5) as a guideline, complete the blanks in the accretion_dilution_empty_form.xls to finalize the accretion/dilution table. If you need to make assumptions, please include the relevant clarifications</w:t>
      </w:r>
      <w:r w:rsidR="000E4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61C" w:rsidRPr="00F23139" w:rsidRDefault="00AA661C" w:rsidP="00DE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excel file is available under </w:t>
      </w:r>
      <w:r w:rsidR="0091442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course introduction </w:t>
      </w:r>
      <w:r w:rsidR="00914421">
        <w:rPr>
          <w:rFonts w:ascii="Times New Roman" w:hAnsi="Times New Roman" w:cs="Times New Roman"/>
          <w:sz w:val="24"/>
          <w:szCs w:val="24"/>
        </w:rPr>
        <w:t xml:space="preserve">stated on the </w:t>
      </w:r>
      <w:r>
        <w:rPr>
          <w:rFonts w:ascii="Times New Roman" w:hAnsi="Times New Roman" w:cs="Times New Roman"/>
          <w:sz w:val="24"/>
          <w:szCs w:val="24"/>
        </w:rPr>
        <w:t xml:space="preserve">blackboard. </w:t>
      </w:r>
    </w:p>
    <w:p w:rsidR="00DE2F19" w:rsidRDefault="00DE2F19" w:rsidP="00AE2945"/>
    <w:sectPr w:rsidR="00DE2F19" w:rsidSect="0005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C96"/>
    <w:multiLevelType w:val="hybridMultilevel"/>
    <w:tmpl w:val="E64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4E1"/>
    <w:multiLevelType w:val="hybridMultilevel"/>
    <w:tmpl w:val="626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51C8"/>
    <w:multiLevelType w:val="multilevel"/>
    <w:tmpl w:val="147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AB6"/>
    <w:multiLevelType w:val="hybridMultilevel"/>
    <w:tmpl w:val="14E6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zQ2MjEysTAxsDA3szBR0lEKTi0uzszPAykwrAUAsfWt5iwAAAA="/>
  </w:docVars>
  <w:rsids>
    <w:rsidRoot w:val="009229CC"/>
    <w:rsid w:val="00056152"/>
    <w:rsid w:val="000E43D3"/>
    <w:rsid w:val="004076EF"/>
    <w:rsid w:val="00577FA1"/>
    <w:rsid w:val="005D57C3"/>
    <w:rsid w:val="006102CC"/>
    <w:rsid w:val="00696F01"/>
    <w:rsid w:val="006D53E9"/>
    <w:rsid w:val="00914421"/>
    <w:rsid w:val="009229CC"/>
    <w:rsid w:val="00962254"/>
    <w:rsid w:val="00A71D02"/>
    <w:rsid w:val="00A74DA7"/>
    <w:rsid w:val="00A8068C"/>
    <w:rsid w:val="00AA661C"/>
    <w:rsid w:val="00AE2945"/>
    <w:rsid w:val="00B34F7D"/>
    <w:rsid w:val="00C40B12"/>
    <w:rsid w:val="00D24FD4"/>
    <w:rsid w:val="00DD5D80"/>
    <w:rsid w:val="00DE2F19"/>
    <w:rsid w:val="00E673DC"/>
    <w:rsid w:val="00E727DA"/>
    <w:rsid w:val="00EE06B2"/>
    <w:rsid w:val="00F23139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a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aa-institute.org/statistics-mergers-acquisi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ggie\Downloads\The" TargetMode="External"/><Relationship Id="rId11" Type="http://schemas.openxmlformats.org/officeDocument/2006/relationships/hyperlink" Target="http://www.ftc.gov/" TargetMode="External"/><Relationship Id="rId5" Type="http://schemas.openxmlformats.org/officeDocument/2006/relationships/hyperlink" Target="http://www.ftc.gov/about-ftc/bureaus-offices/bureau-competition" TargetMode="External"/><Relationship Id="rId10" Type="http://schemas.openxmlformats.org/officeDocument/2006/relationships/hyperlink" Target="http://www.ftc.gov/bc/compguid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doj.gov/at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2018-04-28T16:42:00Z</dcterms:created>
  <dcterms:modified xsi:type="dcterms:W3CDTF">2018-04-28T16:42:00Z</dcterms:modified>
</cp:coreProperties>
</file>