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73" w:rsidRPr="004B5573" w:rsidRDefault="004B5573" w:rsidP="004B5573">
      <w:pPr>
        <w:shd w:val="clear" w:color="auto" w:fill="FFFFFF"/>
        <w:spacing w:after="0" w:line="240" w:lineRule="auto"/>
        <w:textAlignment w:val="baseline"/>
        <w:outlineLvl w:val="1"/>
        <w:rPr>
          <w:rFonts w:ascii="Times New Roman" w:eastAsia="Times New Roman" w:hAnsi="Times New Roman" w:cs="Times New Roman"/>
          <w:b/>
          <w:bCs/>
          <w:color w:val="303030"/>
          <w:sz w:val="40"/>
          <w:szCs w:val="40"/>
        </w:rPr>
      </w:pPr>
      <w:r w:rsidRPr="004B5573">
        <w:rPr>
          <w:rFonts w:ascii="Times New Roman" w:eastAsia="Times New Roman" w:hAnsi="Times New Roman" w:cs="Times New Roman"/>
          <w:b/>
          <w:bCs/>
          <w:color w:val="303030"/>
          <w:sz w:val="40"/>
          <w:szCs w:val="40"/>
        </w:rPr>
        <w:t>Introduction to Due Diligence</w:t>
      </w:r>
    </w:p>
    <w:p w:rsidR="004B5573" w:rsidRPr="004B5573" w:rsidRDefault="004B5573" w:rsidP="004B5573">
      <w:pPr>
        <w:shd w:val="clear" w:color="auto" w:fill="FFFFFF"/>
        <w:spacing w:after="0" w:line="240" w:lineRule="auto"/>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There is massive information asymmetry between the buyer and seller when acquiring a company: The seller knows everything about its own business and the buyer knows far less. Making matters worse, the seller is incentivized to hide or downplay negative aspects of the business and exaggerate the positives.</w:t>
      </w:r>
    </w:p>
    <w:p w:rsidR="004B5573" w:rsidRPr="004B5573" w:rsidRDefault="004B5573" w:rsidP="004B5573">
      <w:pPr>
        <w:shd w:val="clear" w:color="auto" w:fill="FFFFFF"/>
        <w:spacing w:after="0" w:line="240" w:lineRule="auto"/>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b/>
          <w:bCs/>
          <w:color w:val="303030"/>
          <w:sz w:val="28"/>
        </w:rPr>
        <w:t>Due diligence</w:t>
      </w:r>
      <w:r w:rsidRPr="004B5573">
        <w:rPr>
          <w:rFonts w:ascii="Times New Roman" w:eastAsia="Times New Roman" w:hAnsi="Times New Roman" w:cs="Times New Roman"/>
          <w:color w:val="303030"/>
          <w:sz w:val="28"/>
          <w:szCs w:val="28"/>
        </w:rPr>
        <w:t xml:space="preserve"> is the process by which the buyer solicits information that reduces this asymmetry. Broadly speaking, the due diligence process seeks to aid the buyer in determining whether it wants to proceed with an </w:t>
      </w:r>
      <w:proofErr w:type="gramStart"/>
      <w:r w:rsidRPr="004B5573">
        <w:rPr>
          <w:rFonts w:ascii="Times New Roman" w:eastAsia="Times New Roman" w:hAnsi="Times New Roman" w:cs="Times New Roman"/>
          <w:color w:val="303030"/>
          <w:sz w:val="28"/>
          <w:szCs w:val="28"/>
        </w:rPr>
        <w:t>acquisition</w:t>
      </w:r>
      <w:proofErr w:type="gramEnd"/>
      <w:r w:rsidRPr="004B5573">
        <w:rPr>
          <w:rFonts w:ascii="Times New Roman" w:eastAsia="Times New Roman" w:hAnsi="Times New Roman" w:cs="Times New Roman"/>
          <w:color w:val="303030"/>
          <w:sz w:val="28"/>
          <w:szCs w:val="28"/>
        </w:rPr>
        <w:t>, and at what price.</w:t>
      </w:r>
    </w:p>
    <w:p w:rsidR="004B5573" w:rsidRPr="004B5573" w:rsidRDefault="004B5573" w:rsidP="004B5573">
      <w:pPr>
        <w:shd w:val="clear" w:color="auto" w:fill="FFFFFF"/>
        <w:spacing w:after="0" w:line="240" w:lineRule="auto"/>
        <w:textAlignment w:val="baseline"/>
        <w:outlineLvl w:val="1"/>
        <w:rPr>
          <w:rFonts w:ascii="Times New Roman" w:eastAsia="Times New Roman" w:hAnsi="Times New Roman" w:cs="Times New Roman"/>
          <w:b/>
          <w:bCs/>
          <w:color w:val="303030"/>
          <w:sz w:val="40"/>
          <w:szCs w:val="40"/>
        </w:rPr>
      </w:pPr>
      <w:r w:rsidRPr="004B5573">
        <w:rPr>
          <w:rFonts w:ascii="Times New Roman" w:eastAsia="Times New Roman" w:hAnsi="Times New Roman" w:cs="Times New Roman"/>
          <w:b/>
          <w:bCs/>
          <w:color w:val="303030"/>
          <w:sz w:val="40"/>
          <w:szCs w:val="40"/>
        </w:rPr>
        <w:t>Due diligence overview</w:t>
      </w:r>
    </w:p>
    <w:p w:rsidR="004B5573" w:rsidRPr="004B5573" w:rsidRDefault="004B5573" w:rsidP="004B5573">
      <w:pPr>
        <w:shd w:val="clear" w:color="auto" w:fill="FFFFFF"/>
        <w:spacing w:after="0" w:line="240" w:lineRule="auto"/>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Naturally, due diligence is primarily done by the buyer on the seller. However, the seller also performs due diligence on the buyer when </w:t>
      </w:r>
      <w:hyperlink r:id="rId5" w:history="1">
        <w:r w:rsidRPr="004B5573">
          <w:rPr>
            <w:rFonts w:ascii="Times New Roman" w:eastAsia="Times New Roman" w:hAnsi="Times New Roman" w:cs="Times New Roman"/>
            <w:color w:val="0B8ECC"/>
            <w:sz w:val="28"/>
            <w:u w:val="single"/>
          </w:rPr>
          <w:t>buyer stock is used</w:t>
        </w:r>
      </w:hyperlink>
      <w:r w:rsidRPr="004B5573">
        <w:rPr>
          <w:rFonts w:ascii="Times New Roman" w:eastAsia="Times New Roman" w:hAnsi="Times New Roman" w:cs="Times New Roman"/>
          <w:color w:val="303030"/>
          <w:sz w:val="28"/>
          <w:szCs w:val="28"/>
        </w:rPr>
        <w:t> as part of the merger consideration. That’s because the seller will now have an interest in the buyer’s business. Sellers may also perform some basic due diligence in a cash sale to </w:t>
      </w:r>
      <w:hyperlink r:id="rId6" w:history="1">
        <w:r w:rsidRPr="004B5573">
          <w:rPr>
            <w:rFonts w:ascii="Times New Roman" w:eastAsia="Times New Roman" w:hAnsi="Times New Roman" w:cs="Times New Roman"/>
            <w:color w:val="0B8ECC"/>
            <w:sz w:val="28"/>
            <w:u w:val="single"/>
          </w:rPr>
          <w:t>ensure buyer will be able to finance the acquisition</w:t>
        </w:r>
      </w:hyperlink>
      <w:r w:rsidRPr="004B5573">
        <w:rPr>
          <w:rFonts w:ascii="Times New Roman" w:eastAsia="Times New Roman" w:hAnsi="Times New Roman" w:cs="Times New Roman"/>
          <w:color w:val="303030"/>
          <w:sz w:val="28"/>
          <w:szCs w:val="28"/>
        </w:rPr>
        <w:t>.</w:t>
      </w:r>
    </w:p>
    <w:p w:rsidR="004B5573" w:rsidRPr="004B5573" w:rsidRDefault="004B5573" w:rsidP="004B5573">
      <w:pPr>
        <w:shd w:val="clear" w:color="auto" w:fill="FFFFFF"/>
        <w:spacing w:after="0" w:line="240" w:lineRule="auto"/>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Due diligence is unique to each transaction, but a thorough due diligence process usually involves:</w:t>
      </w:r>
    </w:p>
    <w:p w:rsidR="004B5573" w:rsidRPr="004B5573" w:rsidRDefault="004B5573" w:rsidP="004B5573">
      <w:pPr>
        <w:shd w:val="clear" w:color="auto" w:fill="FFFFFF"/>
        <w:spacing w:after="0" w:line="240" w:lineRule="auto"/>
        <w:textAlignment w:val="baseline"/>
        <w:outlineLvl w:val="2"/>
        <w:rPr>
          <w:rFonts w:ascii="Times New Roman" w:eastAsia="Times New Roman" w:hAnsi="Times New Roman" w:cs="Times New Roman"/>
          <w:b/>
          <w:bCs/>
          <w:color w:val="0B8ECC"/>
          <w:sz w:val="30"/>
          <w:szCs w:val="30"/>
        </w:rPr>
      </w:pPr>
      <w:r w:rsidRPr="004B5573">
        <w:rPr>
          <w:rFonts w:ascii="Times New Roman" w:eastAsia="Times New Roman" w:hAnsi="Times New Roman" w:cs="Times New Roman"/>
          <w:b/>
          <w:bCs/>
          <w:color w:val="0B8ECC"/>
          <w:sz w:val="30"/>
          <w:szCs w:val="30"/>
        </w:rPr>
        <w:t>Financial due diligence</w:t>
      </w:r>
    </w:p>
    <w:p w:rsidR="004B5573" w:rsidRPr="004B5573" w:rsidRDefault="004B5573" w:rsidP="004B5573">
      <w:pPr>
        <w:numPr>
          <w:ilvl w:val="0"/>
          <w:numId w:val="1"/>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Historical financial performance (usually the last 3 years)</w:t>
      </w:r>
    </w:p>
    <w:p w:rsidR="004B5573" w:rsidRPr="004B5573" w:rsidRDefault="004B5573" w:rsidP="004B5573">
      <w:pPr>
        <w:numPr>
          <w:ilvl w:val="1"/>
          <w:numId w:val="1"/>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Revenue analysis: Customers, products, distribution channels, geography, pricing strategy, key contracts, etc.</w:t>
      </w:r>
    </w:p>
    <w:p w:rsidR="004B5573" w:rsidRPr="004B5573" w:rsidRDefault="004B5573" w:rsidP="004B5573">
      <w:pPr>
        <w:numPr>
          <w:ilvl w:val="1"/>
          <w:numId w:val="1"/>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Expenses: Analysis of cost of sales, SG&amp;A, R&amp;D, corporate overhead, key suppliers</w:t>
      </w:r>
    </w:p>
    <w:p w:rsidR="004B5573" w:rsidRPr="004B5573" w:rsidRDefault="004B5573" w:rsidP="004B5573">
      <w:pPr>
        <w:numPr>
          <w:ilvl w:val="1"/>
          <w:numId w:val="1"/>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Analysis of company’s assets and liabilities including leases, plants and real estate assets</w:t>
      </w:r>
    </w:p>
    <w:p w:rsidR="004B5573" w:rsidRPr="004B5573" w:rsidRDefault="004B5573" w:rsidP="004B5573">
      <w:pPr>
        <w:numPr>
          <w:ilvl w:val="1"/>
          <w:numId w:val="1"/>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Analysis of company cash flows</w:t>
      </w:r>
    </w:p>
    <w:p w:rsidR="004B5573" w:rsidRPr="004B5573" w:rsidRDefault="004B5573" w:rsidP="004B5573">
      <w:pPr>
        <w:numPr>
          <w:ilvl w:val="0"/>
          <w:numId w:val="1"/>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Seller assumptions and projections (quarterly over next 3 years)</w:t>
      </w:r>
    </w:p>
    <w:p w:rsidR="004B5573" w:rsidRPr="004B5573" w:rsidRDefault="004B5573" w:rsidP="004B5573">
      <w:pPr>
        <w:numPr>
          <w:ilvl w:val="1"/>
          <w:numId w:val="1"/>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Review and sensitivity of key assumptions on income statement, balance sheet and cash flow statement</w:t>
      </w:r>
    </w:p>
    <w:p w:rsidR="004B5573" w:rsidRPr="004B5573" w:rsidRDefault="004B5573" w:rsidP="004B5573">
      <w:pPr>
        <w:shd w:val="clear" w:color="auto" w:fill="FFFFFF"/>
        <w:spacing w:after="0" w:line="240" w:lineRule="auto"/>
        <w:textAlignment w:val="baseline"/>
        <w:outlineLvl w:val="2"/>
        <w:rPr>
          <w:rFonts w:ascii="Times New Roman" w:eastAsia="Times New Roman" w:hAnsi="Times New Roman" w:cs="Times New Roman"/>
          <w:b/>
          <w:bCs/>
          <w:color w:val="0B8ECC"/>
          <w:sz w:val="30"/>
          <w:szCs w:val="30"/>
        </w:rPr>
      </w:pPr>
      <w:r w:rsidRPr="004B5573">
        <w:rPr>
          <w:rFonts w:ascii="Times New Roman" w:eastAsia="Times New Roman" w:hAnsi="Times New Roman" w:cs="Times New Roman"/>
          <w:b/>
          <w:bCs/>
          <w:color w:val="0B8ECC"/>
          <w:sz w:val="30"/>
          <w:szCs w:val="30"/>
        </w:rPr>
        <w:t>Business due diligence</w:t>
      </w:r>
    </w:p>
    <w:p w:rsidR="004B5573" w:rsidRPr="004B5573" w:rsidRDefault="004B5573" w:rsidP="004B5573">
      <w:pPr>
        <w:numPr>
          <w:ilvl w:val="0"/>
          <w:numId w:val="2"/>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Analysis of seller’s industry, competitive position, strategic plan</w:t>
      </w:r>
    </w:p>
    <w:p w:rsidR="004B5573" w:rsidRPr="004B5573" w:rsidRDefault="004B5573" w:rsidP="004B5573">
      <w:pPr>
        <w:numPr>
          <w:ilvl w:val="0"/>
          <w:numId w:val="2"/>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Analysis of key customers and affiliates</w:t>
      </w:r>
    </w:p>
    <w:p w:rsidR="004B5573" w:rsidRPr="004B5573" w:rsidRDefault="004B5573" w:rsidP="004B5573">
      <w:pPr>
        <w:numPr>
          <w:ilvl w:val="0"/>
          <w:numId w:val="2"/>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Review of company products, product sourcing strategy and suppliers</w:t>
      </w:r>
    </w:p>
    <w:p w:rsidR="004B5573" w:rsidRPr="004B5573" w:rsidRDefault="004B5573" w:rsidP="004B5573">
      <w:pPr>
        <w:numPr>
          <w:ilvl w:val="0"/>
          <w:numId w:val="2"/>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Review of company’s research and development and marketing and sales programs</w:t>
      </w:r>
    </w:p>
    <w:p w:rsidR="004B5573" w:rsidRPr="004B5573" w:rsidRDefault="004B5573" w:rsidP="004B5573">
      <w:pPr>
        <w:numPr>
          <w:ilvl w:val="0"/>
          <w:numId w:val="2"/>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Compensation of management and key employees</w:t>
      </w:r>
    </w:p>
    <w:p w:rsidR="004B5573" w:rsidRPr="004B5573" w:rsidRDefault="004B5573" w:rsidP="004B5573">
      <w:pPr>
        <w:numPr>
          <w:ilvl w:val="0"/>
          <w:numId w:val="2"/>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Ownership: Analysis of key shareholders</w:t>
      </w:r>
    </w:p>
    <w:p w:rsidR="004B5573" w:rsidRPr="004B5573" w:rsidRDefault="004B5573" w:rsidP="004B5573">
      <w:pPr>
        <w:shd w:val="clear" w:color="auto" w:fill="FFFFFF"/>
        <w:spacing w:after="0" w:line="240" w:lineRule="auto"/>
        <w:textAlignment w:val="baseline"/>
        <w:outlineLvl w:val="2"/>
        <w:rPr>
          <w:rFonts w:ascii="Times New Roman" w:eastAsia="Times New Roman" w:hAnsi="Times New Roman" w:cs="Times New Roman"/>
          <w:b/>
          <w:bCs/>
          <w:color w:val="0B8ECC"/>
          <w:sz w:val="30"/>
          <w:szCs w:val="30"/>
        </w:rPr>
      </w:pPr>
      <w:r w:rsidRPr="004B5573">
        <w:rPr>
          <w:rFonts w:ascii="Times New Roman" w:eastAsia="Times New Roman" w:hAnsi="Times New Roman" w:cs="Times New Roman"/>
          <w:b/>
          <w:bCs/>
          <w:color w:val="0B8ECC"/>
          <w:sz w:val="30"/>
          <w:szCs w:val="30"/>
        </w:rPr>
        <w:t>Legal, accounting and tax due diligence</w:t>
      </w:r>
    </w:p>
    <w:p w:rsidR="004B5573" w:rsidRPr="004B5573" w:rsidRDefault="004B5573" w:rsidP="004B5573">
      <w:pPr>
        <w:numPr>
          <w:ilvl w:val="0"/>
          <w:numId w:val="3"/>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lastRenderedPageBreak/>
        <w:t>Legal: Review of IP, patents, outstanding or potential litigation, incorporation documents, employment contracts, key customer and supplier contracts and loan agreements</w:t>
      </w:r>
    </w:p>
    <w:p w:rsidR="004B5573" w:rsidRPr="004B5573" w:rsidRDefault="004B5573" w:rsidP="004B5573">
      <w:pPr>
        <w:numPr>
          <w:ilvl w:val="0"/>
          <w:numId w:val="3"/>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Accounting: Understanding seller’s accounting policies, controls and cash management</w:t>
      </w:r>
    </w:p>
    <w:p w:rsidR="004B5573" w:rsidRPr="004B5573" w:rsidRDefault="004B5573" w:rsidP="004B5573">
      <w:pPr>
        <w:numPr>
          <w:ilvl w:val="0"/>
          <w:numId w:val="3"/>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Tax: Review of tax attributes (like NOLs) that may be inherited or lost in an acquisition</w:t>
      </w:r>
    </w:p>
    <w:p w:rsidR="004B5573" w:rsidRPr="004B5573" w:rsidRDefault="004B5573" w:rsidP="004B5573">
      <w:pPr>
        <w:shd w:val="clear" w:color="auto" w:fill="FFFFFF"/>
        <w:spacing w:after="0" w:line="240" w:lineRule="auto"/>
        <w:textAlignment w:val="baseline"/>
        <w:outlineLvl w:val="2"/>
        <w:rPr>
          <w:rFonts w:ascii="Times New Roman" w:eastAsia="Times New Roman" w:hAnsi="Times New Roman" w:cs="Times New Roman"/>
          <w:b/>
          <w:bCs/>
          <w:color w:val="0B8ECC"/>
          <w:sz w:val="30"/>
          <w:szCs w:val="30"/>
        </w:rPr>
      </w:pPr>
      <w:r w:rsidRPr="004B5573">
        <w:rPr>
          <w:rFonts w:ascii="Times New Roman" w:eastAsia="Times New Roman" w:hAnsi="Times New Roman" w:cs="Times New Roman"/>
          <w:b/>
          <w:bCs/>
          <w:color w:val="0B8ECC"/>
          <w:sz w:val="30"/>
          <w:szCs w:val="30"/>
        </w:rPr>
        <w:t>Integration and operational due diligence</w:t>
      </w:r>
    </w:p>
    <w:p w:rsidR="004B5573" w:rsidRPr="004B5573" w:rsidRDefault="004B5573" w:rsidP="004B5573">
      <w:pPr>
        <w:numPr>
          <w:ilvl w:val="0"/>
          <w:numId w:val="4"/>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Analysis of synergies and integration planning</w:t>
      </w:r>
    </w:p>
    <w:p w:rsidR="004B5573" w:rsidRPr="004B5573" w:rsidRDefault="004B5573" w:rsidP="004B5573">
      <w:pPr>
        <w:numPr>
          <w:ilvl w:val="0"/>
          <w:numId w:val="4"/>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Cultural fit, retention and compensation of management and employees and location of offices</w:t>
      </w:r>
    </w:p>
    <w:p w:rsidR="004B5573" w:rsidRPr="004B5573" w:rsidRDefault="004B5573" w:rsidP="004B5573">
      <w:pPr>
        <w:numPr>
          <w:ilvl w:val="0"/>
          <w:numId w:val="4"/>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Impact of acquisition on customers, partnerships and suppliers (i.e. channel conflicts, change of control issues)</w:t>
      </w:r>
    </w:p>
    <w:p w:rsidR="004B5573" w:rsidRPr="004B5573" w:rsidRDefault="004B5573" w:rsidP="004B5573">
      <w:pPr>
        <w:numPr>
          <w:ilvl w:val="0"/>
          <w:numId w:val="4"/>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Treatment of options and other dilutive securities, capitalization table</w:t>
      </w:r>
    </w:p>
    <w:p w:rsidR="004B5573" w:rsidRPr="004B5573" w:rsidRDefault="004B5573" w:rsidP="004B5573">
      <w:pPr>
        <w:numPr>
          <w:ilvl w:val="0"/>
          <w:numId w:val="4"/>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Visits to seller’s headquarters and facilities</w:t>
      </w:r>
    </w:p>
    <w:p w:rsidR="004B5573" w:rsidRPr="004B5573" w:rsidRDefault="004B5573" w:rsidP="004B5573">
      <w:pPr>
        <w:numPr>
          <w:ilvl w:val="0"/>
          <w:numId w:val="4"/>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Meetings and discussions with seller’s management, shareholders and other key stakeholders</w:t>
      </w:r>
    </w:p>
    <w:p w:rsidR="004B5573" w:rsidRPr="004B5573" w:rsidRDefault="004B5573" w:rsidP="004B5573">
      <w:pPr>
        <w:shd w:val="clear" w:color="auto" w:fill="FFFFFF"/>
        <w:spacing w:after="0" w:line="240" w:lineRule="auto"/>
        <w:textAlignment w:val="baseline"/>
        <w:outlineLvl w:val="1"/>
        <w:rPr>
          <w:rFonts w:ascii="Times New Roman" w:eastAsia="Times New Roman" w:hAnsi="Times New Roman" w:cs="Times New Roman"/>
          <w:b/>
          <w:bCs/>
          <w:color w:val="303030"/>
          <w:sz w:val="40"/>
          <w:szCs w:val="40"/>
        </w:rPr>
      </w:pPr>
      <w:r w:rsidRPr="004B5573">
        <w:rPr>
          <w:rFonts w:ascii="Times New Roman" w:eastAsia="Times New Roman" w:hAnsi="Times New Roman" w:cs="Times New Roman"/>
          <w:b/>
          <w:bCs/>
          <w:color w:val="303030"/>
          <w:sz w:val="40"/>
          <w:szCs w:val="40"/>
        </w:rPr>
        <w:t xml:space="preserve">Due diligence: public </w:t>
      </w:r>
      <w:proofErr w:type="spellStart"/>
      <w:r w:rsidRPr="004B5573">
        <w:rPr>
          <w:rFonts w:ascii="Times New Roman" w:eastAsia="Times New Roman" w:hAnsi="Times New Roman" w:cs="Times New Roman"/>
          <w:b/>
          <w:bCs/>
          <w:color w:val="303030"/>
          <w:sz w:val="40"/>
          <w:szCs w:val="40"/>
        </w:rPr>
        <w:t>vs</w:t>
      </w:r>
      <w:proofErr w:type="spellEnd"/>
      <w:r w:rsidRPr="004B5573">
        <w:rPr>
          <w:rFonts w:ascii="Times New Roman" w:eastAsia="Times New Roman" w:hAnsi="Times New Roman" w:cs="Times New Roman"/>
          <w:b/>
          <w:bCs/>
          <w:color w:val="303030"/>
          <w:sz w:val="40"/>
          <w:szCs w:val="40"/>
        </w:rPr>
        <w:t xml:space="preserve"> private sellers</w:t>
      </w:r>
    </w:p>
    <w:p w:rsidR="004B5573" w:rsidRPr="004B5573" w:rsidRDefault="004B5573" w:rsidP="004B5573">
      <w:pPr>
        <w:shd w:val="clear" w:color="auto" w:fill="FFFFFF"/>
        <w:spacing w:after="0" w:line="240" w:lineRule="auto"/>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b/>
          <w:bCs/>
          <w:color w:val="303030"/>
          <w:sz w:val="28"/>
        </w:rPr>
        <w:t>When the seller is a public company</w:t>
      </w:r>
      <w:r w:rsidRPr="004B5573">
        <w:rPr>
          <w:rFonts w:ascii="Times New Roman" w:eastAsia="Times New Roman" w:hAnsi="Times New Roman" w:cs="Times New Roman"/>
          <w:color w:val="303030"/>
          <w:sz w:val="28"/>
          <w:szCs w:val="28"/>
        </w:rPr>
        <w:t>, the diligence can be thought of as a two-phase process:</w:t>
      </w:r>
    </w:p>
    <w:p w:rsidR="004B5573" w:rsidRPr="004B5573" w:rsidRDefault="004B5573" w:rsidP="004B5573">
      <w:pPr>
        <w:numPr>
          <w:ilvl w:val="0"/>
          <w:numId w:val="5"/>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The buyer can conduct a primary diligence process (sometimes before even engaging with the seller) by using public filings (10Ks and 10Qs, proxy statements) to learn about the sellers financials, operations, and shareholders.</w:t>
      </w:r>
    </w:p>
    <w:p w:rsidR="004B5573" w:rsidRPr="004B5573" w:rsidRDefault="004B5573" w:rsidP="004B5573">
      <w:pPr>
        <w:numPr>
          <w:ilvl w:val="0"/>
          <w:numId w:val="5"/>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 xml:space="preserve">Private information is shared. This is provided by the seller once the buyer and seller sign </w:t>
      </w:r>
      <w:proofErr w:type="gramStart"/>
      <w:r w:rsidRPr="004B5573">
        <w:rPr>
          <w:rFonts w:ascii="Times New Roman" w:eastAsia="Times New Roman" w:hAnsi="Times New Roman" w:cs="Times New Roman"/>
          <w:color w:val="303030"/>
          <w:sz w:val="28"/>
          <w:szCs w:val="28"/>
        </w:rPr>
        <w:t>a confidentiality</w:t>
      </w:r>
      <w:proofErr w:type="gramEnd"/>
      <w:r w:rsidRPr="004B5573">
        <w:rPr>
          <w:rFonts w:ascii="Times New Roman" w:eastAsia="Times New Roman" w:hAnsi="Times New Roman" w:cs="Times New Roman"/>
          <w:color w:val="303030"/>
          <w:sz w:val="28"/>
          <w:szCs w:val="28"/>
        </w:rPr>
        <w:t xml:space="preserve"> agreement (CA), also called a non-disclosure agreement (NDA).</w:t>
      </w:r>
    </w:p>
    <w:p w:rsidR="004B5573" w:rsidRPr="004B5573" w:rsidRDefault="004B5573" w:rsidP="004B5573">
      <w:pPr>
        <w:shd w:val="clear" w:color="auto" w:fill="FFFFFF"/>
        <w:spacing w:after="0" w:line="240" w:lineRule="auto"/>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b/>
          <w:bCs/>
          <w:color w:val="303030"/>
          <w:sz w:val="28"/>
        </w:rPr>
        <w:t>When the seller is a private company</w:t>
      </w:r>
      <w:r w:rsidRPr="004B5573">
        <w:rPr>
          <w:rFonts w:ascii="Times New Roman" w:eastAsia="Times New Roman" w:hAnsi="Times New Roman" w:cs="Times New Roman"/>
          <w:color w:val="303030"/>
          <w:sz w:val="28"/>
          <w:szCs w:val="28"/>
        </w:rPr>
        <w:t>, there’s very little due diligence that can be performed (beyond perhaps a sector or industry analysis) until the seller willingly provides nonpublic information. Comprehensive due diligence can only begin once the CA is signed.</w:t>
      </w:r>
    </w:p>
    <w:p w:rsidR="004B5573" w:rsidRPr="004B5573" w:rsidRDefault="004B5573" w:rsidP="004B5573">
      <w:pPr>
        <w:shd w:val="clear" w:color="auto" w:fill="FFFFFF"/>
        <w:spacing w:after="0" w:line="240" w:lineRule="auto"/>
        <w:textAlignment w:val="baseline"/>
        <w:outlineLvl w:val="1"/>
        <w:rPr>
          <w:rFonts w:ascii="Times New Roman" w:eastAsia="Times New Roman" w:hAnsi="Times New Roman" w:cs="Times New Roman"/>
          <w:b/>
          <w:bCs/>
          <w:color w:val="303030"/>
          <w:sz w:val="40"/>
          <w:szCs w:val="40"/>
        </w:rPr>
      </w:pPr>
      <w:r w:rsidRPr="004B5573">
        <w:rPr>
          <w:rFonts w:ascii="Times New Roman" w:eastAsia="Times New Roman" w:hAnsi="Times New Roman" w:cs="Times New Roman"/>
          <w:b/>
          <w:bCs/>
          <w:color w:val="303030"/>
          <w:sz w:val="40"/>
          <w:szCs w:val="40"/>
        </w:rPr>
        <w:t>Due diligence process: how information is gathered</w:t>
      </w:r>
    </w:p>
    <w:p w:rsidR="004B5573" w:rsidRPr="004B5573" w:rsidRDefault="004B5573" w:rsidP="004B5573">
      <w:pPr>
        <w:shd w:val="clear" w:color="auto" w:fill="FFFFFF"/>
        <w:spacing w:after="0" w:line="240" w:lineRule="auto"/>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When sellers run a </w:t>
      </w:r>
      <w:hyperlink r:id="rId7" w:history="1">
        <w:r w:rsidRPr="004B5573">
          <w:rPr>
            <w:rFonts w:ascii="Times New Roman" w:eastAsia="Times New Roman" w:hAnsi="Times New Roman" w:cs="Times New Roman"/>
            <w:color w:val="0B8ECC"/>
            <w:sz w:val="28"/>
            <w:u w:val="single"/>
          </w:rPr>
          <w:t>formal auction</w:t>
        </w:r>
      </w:hyperlink>
      <w:r w:rsidRPr="004B5573">
        <w:rPr>
          <w:rFonts w:ascii="Times New Roman" w:eastAsia="Times New Roman" w:hAnsi="Times New Roman" w:cs="Times New Roman"/>
          <w:color w:val="303030"/>
          <w:sz w:val="28"/>
          <w:szCs w:val="28"/>
        </w:rPr>
        <w:t>, the due diligence process will usually look something like this:</w:t>
      </w:r>
    </w:p>
    <w:p w:rsidR="004B5573" w:rsidRPr="004B5573" w:rsidRDefault="004B5573" w:rsidP="004B5573">
      <w:pPr>
        <w:numPr>
          <w:ilvl w:val="0"/>
          <w:numId w:val="6"/>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The seller (or the </w:t>
      </w:r>
      <w:hyperlink r:id="rId8" w:history="1">
        <w:r w:rsidRPr="004B5573">
          <w:rPr>
            <w:rFonts w:ascii="Times New Roman" w:eastAsia="Times New Roman" w:hAnsi="Times New Roman" w:cs="Times New Roman"/>
            <w:color w:val="0B8ECC"/>
            <w:sz w:val="28"/>
            <w:u w:val="single"/>
          </w:rPr>
          <w:t>seller’s banker</w:t>
        </w:r>
      </w:hyperlink>
      <w:r w:rsidRPr="004B5573">
        <w:rPr>
          <w:rFonts w:ascii="Times New Roman" w:eastAsia="Times New Roman" w:hAnsi="Times New Roman" w:cs="Times New Roman"/>
          <w:color w:val="303030"/>
          <w:sz w:val="28"/>
          <w:szCs w:val="28"/>
        </w:rPr>
        <w:t>) will reach out to several potential buyers to gauge interest in an acquisition. (When the seller reaches out to a small predefined group of potential buyers it’s called a “</w:t>
      </w:r>
      <w:hyperlink r:id="rId9" w:history="1">
        <w:r w:rsidRPr="004B5573">
          <w:rPr>
            <w:rFonts w:ascii="Times New Roman" w:eastAsia="Times New Roman" w:hAnsi="Times New Roman" w:cs="Times New Roman"/>
            <w:color w:val="0B8ECC"/>
            <w:sz w:val="28"/>
            <w:u w:val="single"/>
          </w:rPr>
          <w:t>targeted auction</w:t>
        </w:r>
      </w:hyperlink>
      <w:r w:rsidRPr="004B5573">
        <w:rPr>
          <w:rFonts w:ascii="Times New Roman" w:eastAsia="Times New Roman" w:hAnsi="Times New Roman" w:cs="Times New Roman"/>
          <w:color w:val="303030"/>
          <w:sz w:val="28"/>
          <w:szCs w:val="28"/>
        </w:rPr>
        <w:t>.”)</w:t>
      </w:r>
    </w:p>
    <w:p w:rsidR="004B5573" w:rsidRPr="004B5573" w:rsidRDefault="004B5573" w:rsidP="004B5573">
      <w:pPr>
        <w:numPr>
          <w:ilvl w:val="0"/>
          <w:numId w:val="6"/>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For acquirers that choose to engage in the process, an NDA is negotiated and the seller distributes a </w:t>
      </w:r>
      <w:hyperlink r:id="rId10" w:history="1">
        <w:r w:rsidRPr="004B5573">
          <w:rPr>
            <w:rFonts w:ascii="Times New Roman" w:eastAsia="Times New Roman" w:hAnsi="Times New Roman" w:cs="Times New Roman"/>
            <w:color w:val="0B8ECC"/>
            <w:sz w:val="28"/>
            <w:u w:val="single"/>
          </w:rPr>
          <w:t>confidential information memorandum (CIM)</w:t>
        </w:r>
      </w:hyperlink>
      <w:r w:rsidRPr="004B5573">
        <w:rPr>
          <w:rFonts w:ascii="Times New Roman" w:eastAsia="Times New Roman" w:hAnsi="Times New Roman" w:cs="Times New Roman"/>
          <w:color w:val="303030"/>
          <w:sz w:val="28"/>
          <w:szCs w:val="28"/>
        </w:rPr>
        <w:t xml:space="preserve">, also called an </w:t>
      </w:r>
      <w:r w:rsidRPr="004B5573">
        <w:rPr>
          <w:rFonts w:ascii="Times New Roman" w:eastAsia="Times New Roman" w:hAnsi="Times New Roman" w:cs="Times New Roman"/>
          <w:color w:val="303030"/>
          <w:sz w:val="28"/>
          <w:szCs w:val="28"/>
        </w:rPr>
        <w:lastRenderedPageBreak/>
        <w:t>offering memorandum (OM). This document contains nonpublic information about the seller, and helps the buyer perform preliminary due diligence.</w:t>
      </w:r>
    </w:p>
    <w:p w:rsidR="004B5573" w:rsidRPr="004B5573" w:rsidRDefault="004B5573" w:rsidP="004B5573">
      <w:pPr>
        <w:numPr>
          <w:ilvl w:val="0"/>
          <w:numId w:val="6"/>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 xml:space="preserve">A buyer interested in bidding during this first round will sometimes (but not always) </w:t>
      </w:r>
      <w:proofErr w:type="gramStart"/>
      <w:r w:rsidRPr="004B5573">
        <w:rPr>
          <w:rFonts w:ascii="Times New Roman" w:eastAsia="Times New Roman" w:hAnsi="Times New Roman" w:cs="Times New Roman"/>
          <w:color w:val="303030"/>
          <w:sz w:val="28"/>
          <w:szCs w:val="28"/>
        </w:rPr>
        <w:t>be</w:t>
      </w:r>
      <w:proofErr w:type="gramEnd"/>
      <w:r w:rsidRPr="004B5573">
        <w:rPr>
          <w:rFonts w:ascii="Times New Roman" w:eastAsia="Times New Roman" w:hAnsi="Times New Roman" w:cs="Times New Roman"/>
          <w:color w:val="303030"/>
          <w:sz w:val="28"/>
          <w:szCs w:val="28"/>
        </w:rPr>
        <w:t xml:space="preserve"> asked to submit an </w:t>
      </w:r>
      <w:r w:rsidRPr="004B5573">
        <w:rPr>
          <w:rFonts w:ascii="Times New Roman" w:eastAsia="Times New Roman" w:hAnsi="Times New Roman" w:cs="Times New Roman"/>
          <w:b/>
          <w:bCs/>
          <w:color w:val="303030"/>
          <w:sz w:val="28"/>
        </w:rPr>
        <w:t>expression of interest (EOI)</w:t>
      </w:r>
      <w:r w:rsidRPr="004B5573">
        <w:rPr>
          <w:rFonts w:ascii="Times New Roman" w:eastAsia="Times New Roman" w:hAnsi="Times New Roman" w:cs="Times New Roman"/>
          <w:color w:val="303030"/>
          <w:sz w:val="28"/>
          <w:szCs w:val="28"/>
        </w:rPr>
        <w:t xml:space="preserve">, which usually contains a purchase price range. At this point, the second round, with a narrowed buyer universe, begins. Interested buyers hold </w:t>
      </w:r>
      <w:proofErr w:type="spellStart"/>
      <w:r w:rsidRPr="004B5573">
        <w:rPr>
          <w:rFonts w:ascii="Times New Roman" w:eastAsia="Times New Roman" w:hAnsi="Times New Roman" w:cs="Times New Roman"/>
          <w:color w:val="303030"/>
          <w:sz w:val="28"/>
          <w:szCs w:val="28"/>
        </w:rPr>
        <w:t>followup</w:t>
      </w:r>
      <w:proofErr w:type="spellEnd"/>
      <w:r w:rsidRPr="004B5573">
        <w:rPr>
          <w:rFonts w:ascii="Times New Roman" w:eastAsia="Times New Roman" w:hAnsi="Times New Roman" w:cs="Times New Roman"/>
          <w:color w:val="303030"/>
          <w:sz w:val="28"/>
          <w:szCs w:val="28"/>
        </w:rPr>
        <w:t xml:space="preserve"> meetings and discussions with seller management. A Q&amp;A period begins.</w:t>
      </w:r>
    </w:p>
    <w:p w:rsidR="004B5573" w:rsidRPr="004B5573" w:rsidRDefault="004B5573" w:rsidP="004B5573">
      <w:pPr>
        <w:numPr>
          <w:ilvl w:val="0"/>
          <w:numId w:val="6"/>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Often, the buyer and its advisors conduct physical visits to the seller’s headquarters, facilities and plants.</w:t>
      </w:r>
    </w:p>
    <w:p w:rsidR="004B5573" w:rsidRPr="004B5573" w:rsidRDefault="004B5573" w:rsidP="004B5573">
      <w:pPr>
        <w:numPr>
          <w:ilvl w:val="0"/>
          <w:numId w:val="6"/>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The EOI should not to be confused with the more formal </w:t>
      </w:r>
      <w:r w:rsidRPr="004B5573">
        <w:rPr>
          <w:rFonts w:ascii="Times New Roman" w:eastAsia="Times New Roman" w:hAnsi="Times New Roman" w:cs="Times New Roman"/>
          <w:b/>
          <w:bCs/>
          <w:color w:val="303030"/>
          <w:sz w:val="28"/>
        </w:rPr>
        <w:t>letter of intent (LOI)</w:t>
      </w:r>
      <w:r w:rsidRPr="004B5573">
        <w:rPr>
          <w:rFonts w:ascii="Times New Roman" w:eastAsia="Times New Roman" w:hAnsi="Times New Roman" w:cs="Times New Roman"/>
          <w:color w:val="303030"/>
          <w:sz w:val="28"/>
          <w:szCs w:val="28"/>
        </w:rPr>
        <w:t>. There’s a point in the process when the seller hopes to receive an LOI from the narrowed potential buyers list. The LOI is either a binding or non-binding agreement that gives more specifics on agreement terms including a specific purchase price and form of consideration. When one or more LOI is received, the buyer will request (and the seller will provide) further details and sensitive private information via a document management system called a </w:t>
      </w:r>
      <w:hyperlink r:id="rId11" w:history="1">
        <w:r w:rsidRPr="004B5573">
          <w:rPr>
            <w:rFonts w:ascii="Times New Roman" w:eastAsia="Times New Roman" w:hAnsi="Times New Roman" w:cs="Times New Roman"/>
            <w:color w:val="0B8ECC"/>
            <w:sz w:val="28"/>
            <w:u w:val="single"/>
          </w:rPr>
          <w:t>virtual data room</w:t>
        </w:r>
      </w:hyperlink>
      <w:r w:rsidRPr="004B5573">
        <w:rPr>
          <w:rFonts w:ascii="Times New Roman" w:eastAsia="Times New Roman" w:hAnsi="Times New Roman" w:cs="Times New Roman"/>
          <w:color w:val="303030"/>
          <w:sz w:val="28"/>
          <w:szCs w:val="28"/>
        </w:rPr>
        <w:t>. The </w:t>
      </w:r>
      <w:hyperlink r:id="rId12" w:history="1">
        <w:r w:rsidRPr="004B5573">
          <w:rPr>
            <w:rFonts w:ascii="Times New Roman" w:eastAsia="Times New Roman" w:hAnsi="Times New Roman" w:cs="Times New Roman"/>
            <w:color w:val="0B8ECC"/>
            <w:sz w:val="28"/>
            <w:u w:val="single"/>
          </w:rPr>
          <w:t>junior banker’s</w:t>
        </w:r>
      </w:hyperlink>
      <w:r w:rsidRPr="004B5573">
        <w:rPr>
          <w:rFonts w:ascii="Times New Roman" w:eastAsia="Times New Roman" w:hAnsi="Times New Roman" w:cs="Times New Roman"/>
          <w:color w:val="303030"/>
          <w:sz w:val="28"/>
          <w:szCs w:val="28"/>
        </w:rPr>
        <w:t> role in this process is to manage the data room. He or she will coordinate with lawyers, accountants and management teams to ensure that all requested seller documents are provided and entered into this central repository.</w:t>
      </w:r>
    </w:p>
    <w:p w:rsidR="004B5573" w:rsidRPr="004B5573" w:rsidRDefault="004B5573" w:rsidP="004B5573">
      <w:pPr>
        <w:numPr>
          <w:ilvl w:val="0"/>
          <w:numId w:val="6"/>
        </w:numPr>
        <w:shd w:val="clear" w:color="auto" w:fill="FFFFFF"/>
        <w:spacing w:after="0" w:line="240" w:lineRule="auto"/>
        <w:ind w:left="0"/>
        <w:textAlignment w:val="baseline"/>
        <w:rPr>
          <w:rFonts w:ascii="Times New Roman" w:eastAsia="Times New Roman" w:hAnsi="Times New Roman" w:cs="Times New Roman"/>
          <w:color w:val="303030"/>
          <w:sz w:val="28"/>
          <w:szCs w:val="28"/>
        </w:rPr>
      </w:pPr>
      <w:r w:rsidRPr="004B5573">
        <w:rPr>
          <w:rFonts w:ascii="Times New Roman" w:eastAsia="Times New Roman" w:hAnsi="Times New Roman" w:cs="Times New Roman"/>
          <w:color w:val="303030"/>
          <w:sz w:val="28"/>
          <w:szCs w:val="28"/>
        </w:rPr>
        <w:t>Interviews with suppliers and customers are typically allowed by the seller on a limited basis after an LOI has been received.</w:t>
      </w:r>
    </w:p>
    <w:p w:rsidR="00665113" w:rsidRPr="004B5573" w:rsidRDefault="00665113" w:rsidP="004B5573">
      <w:pPr>
        <w:spacing w:after="0" w:line="240" w:lineRule="auto"/>
        <w:rPr>
          <w:rFonts w:ascii="Times New Roman" w:hAnsi="Times New Roman" w:cs="Times New Roman"/>
        </w:rPr>
      </w:pPr>
    </w:p>
    <w:sectPr w:rsidR="00665113" w:rsidRPr="004B5573" w:rsidSect="00665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2FB"/>
    <w:multiLevelType w:val="multilevel"/>
    <w:tmpl w:val="8402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510183"/>
    <w:multiLevelType w:val="multilevel"/>
    <w:tmpl w:val="3BEAF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0437C1"/>
    <w:multiLevelType w:val="multilevel"/>
    <w:tmpl w:val="2EFA9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4F4E15"/>
    <w:multiLevelType w:val="multilevel"/>
    <w:tmpl w:val="73E6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D432EF"/>
    <w:multiLevelType w:val="multilevel"/>
    <w:tmpl w:val="58FE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3962F8"/>
    <w:multiLevelType w:val="multilevel"/>
    <w:tmpl w:val="4034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B5573"/>
    <w:rsid w:val="004B5573"/>
    <w:rsid w:val="006651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13"/>
  </w:style>
  <w:style w:type="paragraph" w:styleId="Heading2">
    <w:name w:val="heading 2"/>
    <w:basedOn w:val="Normal"/>
    <w:link w:val="Heading2Char"/>
    <w:uiPriority w:val="9"/>
    <w:qFormat/>
    <w:rsid w:val="004B55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55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5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55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55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573"/>
    <w:rPr>
      <w:b/>
      <w:bCs/>
    </w:rPr>
  </w:style>
  <w:style w:type="character" w:styleId="Hyperlink">
    <w:name w:val="Hyperlink"/>
    <w:basedOn w:val="DefaultParagraphFont"/>
    <w:uiPriority w:val="99"/>
    <w:semiHidden/>
    <w:unhideWhenUsed/>
    <w:rsid w:val="004B5573"/>
    <w:rPr>
      <w:color w:val="0000FF"/>
      <w:u w:val="single"/>
    </w:rPr>
  </w:style>
</w:styles>
</file>

<file path=word/webSettings.xml><?xml version="1.0" encoding="utf-8"?>
<w:webSettings xmlns:r="http://schemas.openxmlformats.org/officeDocument/2006/relationships" xmlns:w="http://schemas.openxmlformats.org/wordprocessingml/2006/main">
  <w:divs>
    <w:div w:id="10599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llstreetprep.com/knowledge/investment-banking-indust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llstreetprep.com/knowledge/sell-side-process/" TargetMode="External"/><Relationship Id="rId12" Type="http://schemas.openxmlformats.org/officeDocument/2006/relationships/hyperlink" Target="https://www.wallstreetprep.com/blog/ma-analyst-day-in-the-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lstreetprep.com/knowledge/break-fees-reverse-termination-fees-ma/" TargetMode="External"/><Relationship Id="rId11" Type="http://schemas.openxmlformats.org/officeDocument/2006/relationships/hyperlink" Target="https://www.forbes.com/sites/allbusiness/2016/08/15/the-importance-of-online-data-rooms-in-mergers-and-acquisitions/" TargetMode="External"/><Relationship Id="rId5" Type="http://schemas.openxmlformats.org/officeDocument/2006/relationships/hyperlink" Target="https://www.wallstreetprep.com/knowledge/how-buyers-pay-in-ma-cash-vs-stock/" TargetMode="External"/><Relationship Id="rId10" Type="http://schemas.openxmlformats.org/officeDocument/2006/relationships/hyperlink" Target="https://s3.amazonaws.com/wsp-blog-images/uploads/2018/02/15161103/American-casinos-CIM.pdf" TargetMode="External"/><Relationship Id="rId4" Type="http://schemas.openxmlformats.org/officeDocument/2006/relationships/webSettings" Target="webSettings.xml"/><Relationship Id="rId9" Type="http://schemas.openxmlformats.org/officeDocument/2006/relationships/hyperlink" Target="https://www.wallstreetprep.com/knowledge/sell-side-pro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5569</Characters>
  <Application>Microsoft Office Word</Application>
  <DocSecurity>0</DocSecurity>
  <Lines>46</Lines>
  <Paragraphs>13</Paragraphs>
  <ScaleCrop>false</ScaleCrop>
  <Company>Grizli777</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2018-03-24T00:06:00Z</dcterms:created>
  <dcterms:modified xsi:type="dcterms:W3CDTF">2018-03-24T00:06:00Z</dcterms:modified>
</cp:coreProperties>
</file>