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74" w:rsidRPr="00E97274" w:rsidRDefault="00E97274" w:rsidP="00E97274">
      <w:pPr>
        <w:shd w:val="clear" w:color="auto" w:fill="FBFBFB"/>
        <w:spacing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36"/>
          <w:szCs w:val="36"/>
        </w:rPr>
      </w:pPr>
      <w:r w:rsidRPr="00E97274">
        <w:rPr>
          <w:rFonts w:ascii="Arial" w:eastAsia="Times New Roman" w:hAnsi="Arial" w:cs="Arial"/>
          <w:color w:val="303030"/>
          <w:sz w:val="36"/>
          <w:szCs w:val="36"/>
        </w:rPr>
        <w:t>Course Agenda</w:t>
      </w:r>
    </w:p>
    <w:p w:rsidR="00E97274" w:rsidRPr="00E97274" w:rsidRDefault="00E97274" w:rsidP="00E97274">
      <w:pPr>
        <w:spacing w:after="12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b/>
          <w:bCs/>
          <w:color w:val="303030"/>
          <w:sz w:val="21"/>
          <w:szCs w:val="21"/>
        </w:rPr>
        <w:t>M&amp;A Modeling Overview</w:t>
      </w:r>
    </w:p>
    <w:p w:rsidR="00E97274" w:rsidRPr="00E97274" w:rsidRDefault="00E97274" w:rsidP="00E97274">
      <w:pPr>
        <w:spacing w:after="360" w:line="444" w:lineRule="atLeast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Build an Accretion/Dilution (M&amp;A) Model to reflect the pro forma impact of various Merger &amp; Acquisition scenarios. Using a real case study, you will model out the acquisition of one company by another company, correctly incorporating pro forma balance sheet and income statement adjustments.</w:t>
      </w:r>
    </w:p>
    <w:p w:rsidR="00E97274" w:rsidRPr="00E97274" w:rsidRDefault="00E97274" w:rsidP="00E97274">
      <w:pPr>
        <w:spacing w:after="360" w:line="444" w:lineRule="atLeast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Key topics covered include a quick test of accretion / dilution in all-stock deals, pricing structures (exchange ratios/collars/”walk-away” rights), purchase accounting, and the step-by-step allocation of purchase price.</w:t>
      </w:r>
    </w:p>
    <w:p w:rsidR="00E97274" w:rsidRPr="00E97274" w:rsidRDefault="00E97274" w:rsidP="00E97274">
      <w:pPr>
        <w:spacing w:before="240" w:after="12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b/>
          <w:bCs/>
          <w:color w:val="303030"/>
          <w:sz w:val="21"/>
          <w:szCs w:val="21"/>
        </w:rPr>
        <w:t>Understanding M&amp;A</w:t>
      </w:r>
    </w:p>
    <w:p w:rsidR="00E97274" w:rsidRPr="00E97274" w:rsidRDefault="00E97274" w:rsidP="00E97274">
      <w:pPr>
        <w:numPr>
          <w:ilvl w:val="0"/>
          <w:numId w:val="1"/>
        </w:numPr>
        <w:spacing w:after="24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Introduction to the M&amp;A landscape</w:t>
      </w:r>
    </w:p>
    <w:p w:rsidR="00E97274" w:rsidRPr="00E97274" w:rsidRDefault="00E97274" w:rsidP="00E97274">
      <w:pPr>
        <w:numPr>
          <w:ilvl w:val="0"/>
          <w:numId w:val="1"/>
        </w:numPr>
        <w:spacing w:after="24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Typical buy side and sell side processes and deal timelines</w:t>
      </w:r>
    </w:p>
    <w:p w:rsidR="00E97274" w:rsidRPr="00E97274" w:rsidRDefault="00E97274" w:rsidP="00E97274">
      <w:pPr>
        <w:numPr>
          <w:ilvl w:val="0"/>
          <w:numId w:val="1"/>
        </w:numPr>
        <w:spacing w:after="24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A review of common deal structures</w:t>
      </w:r>
    </w:p>
    <w:p w:rsidR="00E97274" w:rsidRPr="00E97274" w:rsidRDefault="00E97274" w:rsidP="00E97274">
      <w:pPr>
        <w:numPr>
          <w:ilvl w:val="0"/>
          <w:numId w:val="1"/>
        </w:numPr>
        <w:spacing w:after="24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Understanding acquisition accounting &amp; purchase price allocation</w:t>
      </w:r>
    </w:p>
    <w:p w:rsidR="00E97274" w:rsidRPr="00E97274" w:rsidRDefault="00E97274" w:rsidP="00E97274">
      <w:pPr>
        <w:numPr>
          <w:ilvl w:val="0"/>
          <w:numId w:val="1"/>
        </w:numPr>
        <w:spacing w:after="24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Understanding deferred taxes created and lost in M&amp;A</w:t>
      </w:r>
    </w:p>
    <w:p w:rsidR="00E97274" w:rsidRPr="00E97274" w:rsidRDefault="00E97274" w:rsidP="00E97274">
      <w:pPr>
        <w:numPr>
          <w:ilvl w:val="0"/>
          <w:numId w:val="1"/>
        </w:numPr>
        <w:spacing w:after="24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Dealing with convertible securities and options in M&amp;A</w:t>
      </w:r>
    </w:p>
    <w:p w:rsidR="00E97274" w:rsidRPr="00E97274" w:rsidRDefault="00E97274" w:rsidP="00E97274">
      <w:pPr>
        <w:numPr>
          <w:ilvl w:val="0"/>
          <w:numId w:val="1"/>
        </w:numPr>
        <w:spacing w:after="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Performing a back-of-the-envelope accretion-dilution analysis</w:t>
      </w:r>
    </w:p>
    <w:p w:rsidR="00E97274" w:rsidRPr="00E97274" w:rsidRDefault="00E97274" w:rsidP="00E97274">
      <w:pPr>
        <w:spacing w:before="720" w:after="12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b/>
          <w:bCs/>
          <w:color w:val="303030"/>
          <w:sz w:val="21"/>
          <w:szCs w:val="21"/>
        </w:rPr>
        <w:t>Accretion/Dilution and M&amp;A modeling</w:t>
      </w:r>
    </w:p>
    <w:p w:rsidR="00E97274" w:rsidRPr="00E97274" w:rsidRDefault="00E97274" w:rsidP="00E97274">
      <w:pPr>
        <w:numPr>
          <w:ilvl w:val="0"/>
          <w:numId w:val="2"/>
        </w:numPr>
        <w:spacing w:after="24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Building a complete accretion dilution model</w:t>
      </w:r>
    </w:p>
    <w:p w:rsidR="00E97274" w:rsidRPr="00E97274" w:rsidRDefault="00E97274" w:rsidP="00E97274">
      <w:pPr>
        <w:numPr>
          <w:ilvl w:val="0"/>
          <w:numId w:val="2"/>
        </w:numPr>
        <w:spacing w:after="24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Forecasting pro forma financial statements, and learning to make correct adjusting entries for goodwill and fair market value write ups, advisory fees and financing fees and debt refinancing</w:t>
      </w:r>
    </w:p>
    <w:p w:rsidR="00E97274" w:rsidRPr="00E97274" w:rsidRDefault="00E97274" w:rsidP="00E97274">
      <w:pPr>
        <w:numPr>
          <w:ilvl w:val="0"/>
          <w:numId w:val="2"/>
        </w:numPr>
        <w:spacing w:after="24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Calculating pre-tax synergies to break-even</w:t>
      </w:r>
    </w:p>
    <w:p w:rsidR="00E97274" w:rsidRPr="00E97274" w:rsidRDefault="00E97274" w:rsidP="00E97274">
      <w:pPr>
        <w:numPr>
          <w:ilvl w:val="0"/>
          <w:numId w:val="2"/>
        </w:numPr>
        <w:spacing w:after="24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Sensitivity analysis using data tables to determine accretion/dilution to target shareholders in various stock/cash scenarios</w:t>
      </w:r>
    </w:p>
    <w:p w:rsidR="00E97274" w:rsidRPr="00E97274" w:rsidRDefault="00E97274" w:rsidP="00E97274">
      <w:pPr>
        <w:numPr>
          <w:ilvl w:val="0"/>
          <w:numId w:val="2"/>
        </w:numPr>
        <w:spacing w:after="24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Error-check a merger model</w:t>
      </w:r>
    </w:p>
    <w:p w:rsidR="00E97274" w:rsidRPr="00E97274" w:rsidRDefault="00E97274" w:rsidP="00E97274">
      <w:pPr>
        <w:numPr>
          <w:ilvl w:val="0"/>
          <w:numId w:val="2"/>
        </w:numPr>
        <w:spacing w:after="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Sales, EBITDA, and ownership contribution analysis</w:t>
      </w:r>
    </w:p>
    <w:p w:rsidR="00E97274" w:rsidRPr="00E97274" w:rsidRDefault="00E97274" w:rsidP="00E97274">
      <w:pPr>
        <w:spacing w:before="720" w:after="12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b/>
          <w:bCs/>
          <w:color w:val="303030"/>
          <w:sz w:val="21"/>
          <w:szCs w:val="21"/>
        </w:rPr>
        <w:t>Advanced topics in M&amp;A</w:t>
      </w:r>
    </w:p>
    <w:p w:rsidR="00E97274" w:rsidRPr="00E97274" w:rsidRDefault="00E97274" w:rsidP="00E97274">
      <w:pPr>
        <w:numPr>
          <w:ilvl w:val="0"/>
          <w:numId w:val="3"/>
        </w:numPr>
        <w:spacing w:after="24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lastRenderedPageBreak/>
        <w:t>Understand the asset vs. stock purchase decision</w:t>
      </w:r>
    </w:p>
    <w:p w:rsidR="00E97274" w:rsidRPr="00E97274" w:rsidRDefault="00E97274" w:rsidP="00E97274">
      <w:pPr>
        <w:numPr>
          <w:ilvl w:val="0"/>
          <w:numId w:val="3"/>
        </w:numPr>
        <w:spacing w:after="24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Address situations in which amortization may be tax-deductible</w:t>
      </w:r>
    </w:p>
    <w:p w:rsidR="00E97274" w:rsidRPr="00E97274" w:rsidRDefault="00E97274" w:rsidP="00E97274">
      <w:pPr>
        <w:numPr>
          <w:ilvl w:val="0"/>
          <w:numId w:val="3"/>
        </w:numPr>
        <w:spacing w:after="24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A discussion of 338(h)(10) election and wholly owned subsidiary acquisitions</w:t>
      </w:r>
    </w:p>
    <w:p w:rsidR="00E97274" w:rsidRPr="00E97274" w:rsidRDefault="00E97274" w:rsidP="00E97274">
      <w:pPr>
        <w:numPr>
          <w:ilvl w:val="0"/>
          <w:numId w:val="3"/>
        </w:numPr>
        <w:spacing w:after="0" w:line="240" w:lineRule="auto"/>
        <w:ind w:left="264"/>
        <w:textAlignment w:val="baseline"/>
        <w:rPr>
          <w:rFonts w:ascii="inherit" w:eastAsia="Times New Roman" w:hAnsi="inherit" w:cs="Arial"/>
          <w:color w:val="303030"/>
          <w:sz w:val="21"/>
          <w:szCs w:val="21"/>
        </w:rPr>
      </w:pPr>
      <w:r w:rsidRPr="00E97274">
        <w:rPr>
          <w:rFonts w:ascii="inherit" w:eastAsia="Times New Roman" w:hAnsi="inherit" w:cs="Arial"/>
          <w:color w:val="303030"/>
          <w:sz w:val="21"/>
          <w:szCs w:val="21"/>
        </w:rPr>
        <w:t>Legal considerations in M&amp;A</w:t>
      </w:r>
    </w:p>
    <w:p w:rsidR="00665113" w:rsidRDefault="00E97274">
      <w:r>
        <w:t xml:space="preserve"> </w:t>
      </w:r>
    </w:p>
    <w:sectPr w:rsidR="00665113" w:rsidSect="0066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BFD"/>
    <w:multiLevelType w:val="multilevel"/>
    <w:tmpl w:val="972A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E0019A"/>
    <w:multiLevelType w:val="multilevel"/>
    <w:tmpl w:val="31AA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18435E"/>
    <w:multiLevelType w:val="multilevel"/>
    <w:tmpl w:val="490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97274"/>
    <w:rsid w:val="004764AC"/>
    <w:rsid w:val="00665113"/>
    <w:rsid w:val="00E9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13"/>
  </w:style>
  <w:style w:type="paragraph" w:styleId="Heading4">
    <w:name w:val="heading 4"/>
    <w:basedOn w:val="Normal"/>
    <w:link w:val="Heading4Char"/>
    <w:uiPriority w:val="9"/>
    <w:qFormat/>
    <w:rsid w:val="00E972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972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856">
          <w:marLeft w:val="0"/>
          <w:marRight w:val="0"/>
          <w:marTop w:val="0"/>
          <w:marBottom w:val="240"/>
          <w:divBdr>
            <w:top w:val="none" w:sz="0" w:space="9" w:color="auto"/>
            <w:left w:val="none" w:sz="0" w:space="12" w:color="auto"/>
            <w:bottom w:val="single" w:sz="4" w:space="9" w:color="F4F4F4"/>
            <w:right w:val="none" w:sz="0" w:space="12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1</cp:revision>
  <dcterms:created xsi:type="dcterms:W3CDTF">2018-03-23T21:28:00Z</dcterms:created>
  <dcterms:modified xsi:type="dcterms:W3CDTF">2018-03-24T00:04:00Z</dcterms:modified>
</cp:coreProperties>
</file>