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82" w:rsidRPr="00F96911" w:rsidRDefault="007F2582" w:rsidP="00050880">
      <w:pPr>
        <w:spacing w:after="0" w:line="240" w:lineRule="auto"/>
        <w:textAlignment w:val="baseline"/>
        <w:outlineLvl w:val="0"/>
        <w:rPr>
          <w:rFonts w:ascii="Times New Roman" w:eastAsia="Times New Roman" w:hAnsi="Times New Roman" w:cs="Times New Roman"/>
          <w:b/>
          <w:spacing w:val="-15"/>
          <w:kern w:val="36"/>
          <w:sz w:val="32"/>
          <w:szCs w:val="32"/>
        </w:rPr>
      </w:pPr>
      <w:r w:rsidRPr="00F96911">
        <w:rPr>
          <w:rFonts w:ascii="Times New Roman" w:eastAsia="Times New Roman" w:hAnsi="Times New Roman" w:cs="Times New Roman"/>
          <w:b/>
          <w:spacing w:val="-15"/>
          <w:kern w:val="36"/>
          <w:sz w:val="32"/>
          <w:szCs w:val="32"/>
        </w:rPr>
        <w:t xml:space="preserve">Deal Documents: Where to Find Information </w:t>
      </w:r>
      <w:proofErr w:type="gramStart"/>
      <w:r w:rsidRPr="00F96911">
        <w:rPr>
          <w:rFonts w:ascii="Times New Roman" w:eastAsia="Times New Roman" w:hAnsi="Times New Roman" w:cs="Times New Roman"/>
          <w:b/>
          <w:spacing w:val="-15"/>
          <w:kern w:val="36"/>
          <w:sz w:val="32"/>
          <w:szCs w:val="32"/>
        </w:rPr>
        <w:t>About</w:t>
      </w:r>
      <w:proofErr w:type="gramEnd"/>
      <w:r w:rsidRPr="00F96911">
        <w:rPr>
          <w:rFonts w:ascii="Times New Roman" w:eastAsia="Times New Roman" w:hAnsi="Times New Roman" w:cs="Times New Roman"/>
          <w:b/>
          <w:spacing w:val="-15"/>
          <w:kern w:val="36"/>
          <w:sz w:val="32"/>
          <w:szCs w:val="32"/>
        </w:rPr>
        <w:t xml:space="preserve"> M&amp;A Transactions</w:t>
      </w:r>
    </w:p>
    <w:p w:rsidR="007F2582" w:rsidRPr="00F96911" w:rsidRDefault="007F2582" w:rsidP="007F2582">
      <w:pPr>
        <w:spacing w:after="0" w:line="240" w:lineRule="auto"/>
        <w:textAlignment w:val="baseline"/>
        <w:outlineLvl w:val="0"/>
        <w:rPr>
          <w:rFonts w:ascii="Times New Roman" w:eastAsia="Times New Roman" w:hAnsi="Times New Roman" w:cs="Times New Roman"/>
          <w:spacing w:val="-15"/>
          <w:kern w:val="36"/>
          <w:sz w:val="24"/>
          <w:szCs w:val="24"/>
        </w:rPr>
      </w:pP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When analyzing M&amp;A transactions, finding the relevant documents is often the hardest part of the job. In an acquisition of a public target, the type of publicly available documents depends on whether the deal is structured as a </w:t>
      </w:r>
      <w:hyperlink r:id="rId5" w:history="1">
        <w:r w:rsidRPr="00F96911">
          <w:rPr>
            <w:rFonts w:ascii="Times New Roman" w:eastAsia="Times New Roman" w:hAnsi="Times New Roman" w:cs="Times New Roman"/>
            <w:color w:val="0B8ECC"/>
            <w:sz w:val="24"/>
            <w:szCs w:val="24"/>
            <w:u w:val="single"/>
          </w:rPr>
          <w:t>merger or a tender offer</w:t>
        </w:r>
      </w:hyperlink>
      <w:r w:rsidRPr="00F96911">
        <w:rPr>
          <w:rFonts w:ascii="Times New Roman" w:eastAsia="Times New Roman" w:hAnsi="Times New Roman" w:cs="Times New Roman"/>
          <w:color w:val="303030"/>
          <w:sz w:val="24"/>
          <w:szCs w:val="24"/>
        </w:rPr>
        <w:t>.</w:t>
      </w:r>
    </w:p>
    <w:p w:rsidR="007F2582" w:rsidRPr="00F96911" w:rsidRDefault="007F2582" w:rsidP="007F2582">
      <w:pPr>
        <w:spacing w:after="0" w:line="240" w:lineRule="auto"/>
        <w:textAlignment w:val="baseline"/>
        <w:outlineLvl w:val="1"/>
        <w:rPr>
          <w:rFonts w:ascii="Times New Roman" w:eastAsia="Times New Roman" w:hAnsi="Times New Roman" w:cs="Times New Roman"/>
          <w:b/>
          <w:bCs/>
          <w:color w:val="303030"/>
          <w:sz w:val="24"/>
          <w:szCs w:val="24"/>
        </w:rPr>
      </w:pPr>
      <w:r w:rsidRPr="00F96911">
        <w:rPr>
          <w:rFonts w:ascii="Times New Roman" w:eastAsia="Times New Roman" w:hAnsi="Times New Roman" w:cs="Times New Roman"/>
          <w:b/>
          <w:bCs/>
          <w:color w:val="303030"/>
          <w:sz w:val="24"/>
          <w:szCs w:val="24"/>
        </w:rPr>
        <w:t>M&amp;A documents in deals structured as mergers</w:t>
      </w:r>
    </w:p>
    <w:p w:rsidR="007F2582" w:rsidRPr="00F96911" w:rsidRDefault="007F2582" w:rsidP="007F2582">
      <w:pPr>
        <w:spacing w:after="0" w:line="240" w:lineRule="auto"/>
        <w:textAlignment w:val="baseline"/>
        <w:outlineLvl w:val="2"/>
        <w:rPr>
          <w:rFonts w:ascii="Times New Roman" w:eastAsia="Times New Roman" w:hAnsi="Times New Roman" w:cs="Times New Roman"/>
          <w:b/>
          <w:bCs/>
          <w:color w:val="0B8ECC"/>
          <w:sz w:val="24"/>
          <w:szCs w:val="24"/>
        </w:rPr>
      </w:pPr>
      <w:r w:rsidRPr="00F96911">
        <w:rPr>
          <w:rFonts w:ascii="Times New Roman" w:eastAsia="Times New Roman" w:hAnsi="Times New Roman" w:cs="Times New Roman"/>
          <w:b/>
          <w:bCs/>
          <w:color w:val="0B8ECC"/>
          <w:sz w:val="24"/>
          <w:szCs w:val="24"/>
        </w:rPr>
        <w:t>Deal announcement press release</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 xml:space="preserve">When two companies merge, they will jointly issue a press release announcing the merger. The press release, which will be filed with the SEC as an 8K (likely on the same day), will usually include detail about the purchase price, form of consideration (cash </w:t>
      </w:r>
      <w:proofErr w:type="spellStart"/>
      <w:r w:rsidRPr="00F96911">
        <w:rPr>
          <w:rFonts w:ascii="Times New Roman" w:eastAsia="Times New Roman" w:hAnsi="Times New Roman" w:cs="Times New Roman"/>
          <w:color w:val="303030"/>
          <w:sz w:val="24"/>
          <w:szCs w:val="24"/>
        </w:rPr>
        <w:t>vs</w:t>
      </w:r>
      <w:proofErr w:type="spellEnd"/>
      <w:r w:rsidRPr="00F96911">
        <w:rPr>
          <w:rFonts w:ascii="Times New Roman" w:eastAsia="Times New Roman" w:hAnsi="Times New Roman" w:cs="Times New Roman"/>
          <w:color w:val="303030"/>
          <w:sz w:val="24"/>
          <w:szCs w:val="24"/>
        </w:rPr>
        <w:t xml:space="preserve"> stock), the expected accretion/dilution to the acquirer and expected synergies, if any. For example, when LinkedIn was acquired by Microsoft in June 13, 2016, they first broke the news to the public via </w:t>
      </w:r>
      <w:hyperlink r:id="rId6" w:history="1">
        <w:r w:rsidRPr="00F96911">
          <w:rPr>
            <w:rFonts w:ascii="Times New Roman" w:eastAsia="Times New Roman" w:hAnsi="Times New Roman" w:cs="Times New Roman"/>
            <w:color w:val="0B8ECC"/>
            <w:sz w:val="24"/>
            <w:szCs w:val="24"/>
            <w:u w:val="single"/>
          </w:rPr>
          <w:t>this press release</w:t>
        </w:r>
      </w:hyperlink>
      <w:r w:rsidRPr="00F96911">
        <w:rPr>
          <w:rFonts w:ascii="Times New Roman" w:eastAsia="Times New Roman" w:hAnsi="Times New Roman" w:cs="Times New Roman"/>
          <w:color w:val="303030"/>
          <w:sz w:val="24"/>
          <w:szCs w:val="24"/>
        </w:rPr>
        <w:t>.</w:t>
      </w:r>
    </w:p>
    <w:p w:rsidR="007F2582" w:rsidRPr="00F96911" w:rsidRDefault="007F2582" w:rsidP="007F2582">
      <w:pPr>
        <w:spacing w:after="0" w:line="240" w:lineRule="auto"/>
        <w:textAlignment w:val="baseline"/>
        <w:outlineLvl w:val="2"/>
        <w:rPr>
          <w:rFonts w:ascii="Times New Roman" w:eastAsia="Times New Roman" w:hAnsi="Times New Roman" w:cs="Times New Roman"/>
          <w:b/>
          <w:bCs/>
          <w:color w:val="0B8ECC"/>
          <w:sz w:val="24"/>
          <w:szCs w:val="24"/>
        </w:rPr>
      </w:pPr>
      <w:r w:rsidRPr="00F96911">
        <w:rPr>
          <w:rFonts w:ascii="Times New Roman" w:eastAsia="Times New Roman" w:hAnsi="Times New Roman" w:cs="Times New Roman"/>
          <w:b/>
          <w:bCs/>
          <w:color w:val="0B8ECC"/>
          <w:sz w:val="24"/>
          <w:szCs w:val="24"/>
        </w:rPr>
        <w:t>Definitive agreement</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Along with the press release, the public target will also file the </w:t>
      </w:r>
      <w:r w:rsidRPr="00F96911">
        <w:rPr>
          <w:rFonts w:ascii="Times New Roman" w:eastAsia="Times New Roman" w:hAnsi="Times New Roman" w:cs="Times New Roman"/>
          <w:b/>
          <w:bCs/>
          <w:color w:val="303030"/>
          <w:sz w:val="24"/>
          <w:szCs w:val="24"/>
        </w:rPr>
        <w:t>definitive agreement</w:t>
      </w:r>
      <w:r w:rsidRPr="00F96911">
        <w:rPr>
          <w:rFonts w:ascii="Times New Roman" w:eastAsia="Times New Roman" w:hAnsi="Times New Roman" w:cs="Times New Roman"/>
          <w:color w:val="303030"/>
          <w:sz w:val="24"/>
          <w:szCs w:val="24"/>
        </w:rPr>
        <w:t> (usually as an exhibit to the press release 8-K or sometimes as a separate 8-K). In a </w:t>
      </w:r>
      <w:hyperlink r:id="rId7" w:history="1">
        <w:r w:rsidRPr="00F96911">
          <w:rPr>
            <w:rFonts w:ascii="Times New Roman" w:eastAsia="Times New Roman" w:hAnsi="Times New Roman" w:cs="Times New Roman"/>
            <w:color w:val="0B8ECC"/>
            <w:sz w:val="24"/>
            <w:szCs w:val="24"/>
            <w:u w:val="single"/>
          </w:rPr>
          <w:t>stock sale</w:t>
        </w:r>
      </w:hyperlink>
      <w:r w:rsidRPr="00F96911">
        <w:rPr>
          <w:rFonts w:ascii="Times New Roman" w:eastAsia="Times New Roman" w:hAnsi="Times New Roman" w:cs="Times New Roman"/>
          <w:color w:val="303030"/>
          <w:sz w:val="24"/>
          <w:szCs w:val="24"/>
        </w:rPr>
        <w:t>, the agreement is often called the </w:t>
      </w:r>
      <w:r w:rsidRPr="00F96911">
        <w:rPr>
          <w:rFonts w:ascii="Times New Roman" w:eastAsia="Times New Roman" w:hAnsi="Times New Roman" w:cs="Times New Roman"/>
          <w:b/>
          <w:bCs/>
          <w:color w:val="303030"/>
          <w:sz w:val="24"/>
          <w:szCs w:val="24"/>
        </w:rPr>
        <w:t>merger agreement,</w:t>
      </w:r>
      <w:r w:rsidRPr="00F96911">
        <w:rPr>
          <w:rFonts w:ascii="Times New Roman" w:eastAsia="Times New Roman" w:hAnsi="Times New Roman" w:cs="Times New Roman"/>
          <w:color w:val="303030"/>
          <w:sz w:val="24"/>
          <w:szCs w:val="24"/>
        </w:rPr>
        <w:t xml:space="preserve"> while in an asset </w:t>
      </w:r>
      <w:proofErr w:type="gramStart"/>
      <w:r w:rsidRPr="00F96911">
        <w:rPr>
          <w:rFonts w:ascii="Times New Roman" w:eastAsia="Times New Roman" w:hAnsi="Times New Roman" w:cs="Times New Roman"/>
          <w:color w:val="303030"/>
          <w:sz w:val="24"/>
          <w:szCs w:val="24"/>
        </w:rPr>
        <w:t>sale,</w:t>
      </w:r>
      <w:proofErr w:type="gramEnd"/>
      <w:r w:rsidRPr="00F96911">
        <w:rPr>
          <w:rFonts w:ascii="Times New Roman" w:eastAsia="Times New Roman" w:hAnsi="Times New Roman" w:cs="Times New Roman"/>
          <w:color w:val="303030"/>
          <w:sz w:val="24"/>
          <w:szCs w:val="24"/>
        </w:rPr>
        <w:t xml:space="preserve"> it’s often called an </w:t>
      </w:r>
      <w:r w:rsidRPr="00F96911">
        <w:rPr>
          <w:rFonts w:ascii="Times New Roman" w:eastAsia="Times New Roman" w:hAnsi="Times New Roman" w:cs="Times New Roman"/>
          <w:b/>
          <w:bCs/>
          <w:color w:val="303030"/>
          <w:sz w:val="24"/>
          <w:szCs w:val="24"/>
        </w:rPr>
        <w:t>asset purchase agreement</w:t>
      </w:r>
      <w:r w:rsidRPr="00F96911">
        <w:rPr>
          <w:rFonts w:ascii="Times New Roman" w:eastAsia="Times New Roman" w:hAnsi="Times New Roman" w:cs="Times New Roman"/>
          <w:color w:val="303030"/>
          <w:sz w:val="24"/>
          <w:szCs w:val="24"/>
        </w:rPr>
        <w:t>. The agreement lays out the terms of the deal in more detail. For example, the LinkedIn </w:t>
      </w:r>
      <w:hyperlink r:id="rId8" w:history="1">
        <w:r w:rsidRPr="00F96911">
          <w:rPr>
            <w:rFonts w:ascii="Times New Roman" w:eastAsia="Times New Roman" w:hAnsi="Times New Roman" w:cs="Times New Roman"/>
            <w:color w:val="0B8ECC"/>
            <w:sz w:val="24"/>
            <w:szCs w:val="24"/>
            <w:u w:val="single"/>
          </w:rPr>
          <w:t>merger agreement</w:t>
        </w:r>
      </w:hyperlink>
      <w:r w:rsidRPr="00F96911">
        <w:rPr>
          <w:rFonts w:ascii="Times New Roman" w:eastAsia="Times New Roman" w:hAnsi="Times New Roman" w:cs="Times New Roman"/>
          <w:color w:val="303030"/>
          <w:sz w:val="24"/>
          <w:szCs w:val="24"/>
        </w:rPr>
        <w:t> details:</w:t>
      </w:r>
    </w:p>
    <w:p w:rsidR="007F2582" w:rsidRPr="00F96911" w:rsidRDefault="007F2582" w:rsidP="007F2582">
      <w:pPr>
        <w:numPr>
          <w:ilvl w:val="0"/>
          <w:numId w:val="1"/>
        </w:numPr>
        <w:spacing w:after="0" w:line="240" w:lineRule="auto"/>
        <w:ind w:left="0"/>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Conditions that would trigger the break-up fee</w:t>
      </w:r>
    </w:p>
    <w:p w:rsidR="007F2582" w:rsidRPr="00F96911" w:rsidRDefault="007F2582" w:rsidP="007F2582">
      <w:pPr>
        <w:numPr>
          <w:ilvl w:val="0"/>
          <w:numId w:val="1"/>
        </w:numPr>
        <w:spacing w:after="0" w:line="240" w:lineRule="auto"/>
        <w:ind w:left="0"/>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Whether the seller can solicit other bids (</w:t>
      </w:r>
      <w:hyperlink r:id="rId9" w:history="1">
        <w:r w:rsidRPr="00F96911">
          <w:rPr>
            <w:rFonts w:ascii="Times New Roman" w:eastAsia="Times New Roman" w:hAnsi="Times New Roman" w:cs="Times New Roman"/>
            <w:color w:val="0B8ECC"/>
            <w:sz w:val="24"/>
            <w:szCs w:val="24"/>
            <w:u w:val="single"/>
          </w:rPr>
          <w:t>“go-shop” or “no-shop”</w:t>
        </w:r>
      </w:hyperlink>
      <w:r w:rsidRPr="00F96911">
        <w:rPr>
          <w:rFonts w:ascii="Times New Roman" w:eastAsia="Times New Roman" w:hAnsi="Times New Roman" w:cs="Times New Roman"/>
          <w:color w:val="303030"/>
          <w:sz w:val="24"/>
          <w:szCs w:val="24"/>
        </w:rPr>
        <w:t>)</w:t>
      </w:r>
    </w:p>
    <w:p w:rsidR="007F2582" w:rsidRPr="00F96911" w:rsidRDefault="007F2582" w:rsidP="007F2582">
      <w:pPr>
        <w:numPr>
          <w:ilvl w:val="0"/>
          <w:numId w:val="1"/>
        </w:numPr>
        <w:spacing w:after="0" w:line="240" w:lineRule="auto"/>
        <w:ind w:left="0"/>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Conditions that would allow a buyer to walk away (</w:t>
      </w:r>
      <w:hyperlink r:id="rId10" w:history="1">
        <w:r w:rsidRPr="00F96911">
          <w:rPr>
            <w:rFonts w:ascii="Times New Roman" w:eastAsia="Times New Roman" w:hAnsi="Times New Roman" w:cs="Times New Roman"/>
            <w:color w:val="0B8ECC"/>
            <w:sz w:val="24"/>
            <w:szCs w:val="24"/>
            <w:u w:val="single"/>
          </w:rPr>
          <w:t>“material adverse effects”</w:t>
        </w:r>
      </w:hyperlink>
      <w:r w:rsidRPr="00F96911">
        <w:rPr>
          <w:rFonts w:ascii="Times New Roman" w:eastAsia="Times New Roman" w:hAnsi="Times New Roman" w:cs="Times New Roman"/>
          <w:color w:val="303030"/>
          <w:sz w:val="24"/>
          <w:szCs w:val="24"/>
        </w:rPr>
        <w:t>)</w:t>
      </w:r>
    </w:p>
    <w:p w:rsidR="007F2582" w:rsidRPr="00F96911" w:rsidRDefault="007F2582" w:rsidP="007F2582">
      <w:pPr>
        <w:numPr>
          <w:ilvl w:val="0"/>
          <w:numId w:val="1"/>
        </w:numPr>
        <w:spacing w:after="0" w:line="240" w:lineRule="auto"/>
        <w:ind w:left="0"/>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 xml:space="preserve">How shares will be converted to </w:t>
      </w:r>
      <w:proofErr w:type="spellStart"/>
      <w:r w:rsidRPr="00F96911">
        <w:rPr>
          <w:rFonts w:ascii="Times New Roman" w:eastAsia="Times New Roman" w:hAnsi="Times New Roman" w:cs="Times New Roman"/>
          <w:color w:val="303030"/>
          <w:sz w:val="24"/>
          <w:szCs w:val="24"/>
        </w:rPr>
        <w:t>acquirer</w:t>
      </w:r>
      <w:proofErr w:type="spellEnd"/>
      <w:r w:rsidRPr="00F96911">
        <w:rPr>
          <w:rFonts w:ascii="Times New Roman" w:eastAsia="Times New Roman" w:hAnsi="Times New Roman" w:cs="Times New Roman"/>
          <w:color w:val="303030"/>
          <w:sz w:val="24"/>
          <w:szCs w:val="24"/>
        </w:rPr>
        <w:t xml:space="preserve"> shares (</w:t>
      </w:r>
      <w:hyperlink r:id="rId11" w:history="1">
        <w:r w:rsidRPr="00F96911">
          <w:rPr>
            <w:rFonts w:ascii="Times New Roman" w:eastAsia="Times New Roman" w:hAnsi="Times New Roman" w:cs="Times New Roman"/>
            <w:color w:val="0B8ECC"/>
            <w:sz w:val="24"/>
            <w:szCs w:val="24"/>
            <w:u w:val="single"/>
          </w:rPr>
          <w:t>when buyer pays with stock</w:t>
        </w:r>
      </w:hyperlink>
      <w:r w:rsidRPr="00F96911">
        <w:rPr>
          <w:rFonts w:ascii="Times New Roman" w:eastAsia="Times New Roman" w:hAnsi="Times New Roman" w:cs="Times New Roman"/>
          <w:color w:val="303030"/>
          <w:sz w:val="24"/>
          <w:szCs w:val="24"/>
        </w:rPr>
        <w:t>)</w:t>
      </w:r>
    </w:p>
    <w:p w:rsidR="007F2582" w:rsidRPr="00F96911" w:rsidRDefault="007F2582" w:rsidP="007F2582">
      <w:pPr>
        <w:numPr>
          <w:ilvl w:val="0"/>
          <w:numId w:val="1"/>
        </w:numPr>
        <w:spacing w:after="0" w:line="240" w:lineRule="auto"/>
        <w:ind w:left="0"/>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What happens to the seller’s options and restricted stock</w:t>
      </w:r>
    </w:p>
    <w:p w:rsidR="007F2582" w:rsidRPr="00F96911" w:rsidRDefault="007F2582" w:rsidP="007F2582">
      <w:pPr>
        <w:spacing w:after="0" w:line="240" w:lineRule="auto"/>
        <w:textAlignment w:val="baseline"/>
        <w:outlineLvl w:val="2"/>
        <w:rPr>
          <w:rFonts w:ascii="Times New Roman" w:eastAsia="Times New Roman" w:hAnsi="Times New Roman" w:cs="Times New Roman"/>
          <w:b/>
          <w:bCs/>
          <w:color w:val="0B8ECC"/>
          <w:sz w:val="24"/>
          <w:szCs w:val="24"/>
        </w:rPr>
      </w:pPr>
      <w:r w:rsidRPr="00F96911">
        <w:rPr>
          <w:rFonts w:ascii="Times New Roman" w:eastAsia="Times New Roman" w:hAnsi="Times New Roman" w:cs="Times New Roman"/>
          <w:b/>
          <w:bCs/>
          <w:color w:val="0B8ECC"/>
          <w:sz w:val="24"/>
          <w:szCs w:val="24"/>
        </w:rPr>
        <w:t>Merger proxy (DEFM14A/PREM14A)</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A proxy is an SEC filing (called the 14A) that is required when a public company does something that its shareholders have to vote on, such as getting acquired. For a vote on a proposed merger, the proxy is called a </w:t>
      </w:r>
      <w:r w:rsidRPr="00F96911">
        <w:rPr>
          <w:rFonts w:ascii="Times New Roman" w:eastAsia="Times New Roman" w:hAnsi="Times New Roman" w:cs="Times New Roman"/>
          <w:b/>
          <w:bCs/>
          <w:color w:val="303030"/>
          <w:sz w:val="24"/>
          <w:szCs w:val="24"/>
        </w:rPr>
        <w:t>merger proxy</w:t>
      </w:r>
      <w:r w:rsidRPr="00F96911">
        <w:rPr>
          <w:rFonts w:ascii="Times New Roman" w:eastAsia="Times New Roman" w:hAnsi="Times New Roman" w:cs="Times New Roman"/>
          <w:color w:val="303030"/>
          <w:sz w:val="24"/>
          <w:szCs w:val="24"/>
        </w:rPr>
        <w:t> (or a </w:t>
      </w:r>
      <w:r w:rsidRPr="00F96911">
        <w:rPr>
          <w:rFonts w:ascii="Times New Roman" w:eastAsia="Times New Roman" w:hAnsi="Times New Roman" w:cs="Times New Roman"/>
          <w:b/>
          <w:bCs/>
          <w:color w:val="303030"/>
          <w:sz w:val="24"/>
          <w:szCs w:val="24"/>
        </w:rPr>
        <w:t>merger prospectus </w:t>
      </w:r>
      <w:r w:rsidRPr="00F96911">
        <w:rPr>
          <w:rFonts w:ascii="Times New Roman" w:eastAsia="Times New Roman" w:hAnsi="Times New Roman" w:cs="Times New Roman"/>
          <w:color w:val="303030"/>
          <w:sz w:val="24"/>
          <w:szCs w:val="24"/>
        </w:rPr>
        <w:t>if the proceeds include acquirer stock) and is filed as a DEFM14A.</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A public seller will file the merger proxy with the SEC usually several weeks after a deal announcement. You’ll first see something called a PREM14A, followed by a DEFM14A several days later. The first is the </w:t>
      </w:r>
      <w:r w:rsidRPr="00F96911">
        <w:rPr>
          <w:rFonts w:ascii="Times New Roman" w:eastAsia="Times New Roman" w:hAnsi="Times New Roman" w:cs="Times New Roman"/>
          <w:b/>
          <w:bCs/>
          <w:color w:val="303030"/>
          <w:sz w:val="24"/>
          <w:szCs w:val="24"/>
        </w:rPr>
        <w:t xml:space="preserve">preliminary </w:t>
      </w:r>
      <w:proofErr w:type="gramStart"/>
      <w:r w:rsidRPr="00F96911">
        <w:rPr>
          <w:rFonts w:ascii="Times New Roman" w:eastAsia="Times New Roman" w:hAnsi="Times New Roman" w:cs="Times New Roman"/>
          <w:b/>
          <w:bCs/>
          <w:color w:val="303030"/>
          <w:sz w:val="24"/>
          <w:szCs w:val="24"/>
        </w:rPr>
        <w:t>proxy</w:t>
      </w:r>
      <w:r w:rsidRPr="00F96911">
        <w:rPr>
          <w:rFonts w:ascii="Times New Roman" w:eastAsia="Times New Roman" w:hAnsi="Times New Roman" w:cs="Times New Roman"/>
          <w:color w:val="303030"/>
          <w:sz w:val="24"/>
          <w:szCs w:val="24"/>
        </w:rPr>
        <w:t>,</w:t>
      </w:r>
      <w:proofErr w:type="gramEnd"/>
      <w:r w:rsidRPr="00F96911">
        <w:rPr>
          <w:rFonts w:ascii="Times New Roman" w:eastAsia="Times New Roman" w:hAnsi="Times New Roman" w:cs="Times New Roman"/>
          <w:color w:val="303030"/>
          <w:sz w:val="24"/>
          <w:szCs w:val="24"/>
        </w:rPr>
        <w:t xml:space="preserve"> the second is the </w:t>
      </w:r>
      <w:r w:rsidRPr="00F96911">
        <w:rPr>
          <w:rFonts w:ascii="Times New Roman" w:eastAsia="Times New Roman" w:hAnsi="Times New Roman" w:cs="Times New Roman"/>
          <w:b/>
          <w:bCs/>
          <w:color w:val="303030"/>
          <w:sz w:val="24"/>
          <w:szCs w:val="24"/>
        </w:rPr>
        <w:t>definitive proxy</w:t>
      </w:r>
      <w:r w:rsidRPr="00F96911">
        <w:rPr>
          <w:rFonts w:ascii="Times New Roman" w:eastAsia="Times New Roman" w:hAnsi="Times New Roman" w:cs="Times New Roman"/>
          <w:color w:val="303030"/>
          <w:sz w:val="24"/>
          <w:szCs w:val="24"/>
        </w:rPr>
        <w:t> (or final proxy). The specific number of shares that are eligible to vote and the actual date of the proxy vote are left blank as placeholders in the preliminary proxy. Otherwise, the two generally contain the same material.</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b/>
          <w:bCs/>
          <w:color w:val="303030"/>
          <w:sz w:val="24"/>
          <w:szCs w:val="24"/>
        </w:rPr>
        <w:t xml:space="preserve">What’s </w:t>
      </w:r>
      <w:proofErr w:type="gramStart"/>
      <w:r w:rsidRPr="00F96911">
        <w:rPr>
          <w:rFonts w:ascii="Times New Roman" w:eastAsia="Times New Roman" w:hAnsi="Times New Roman" w:cs="Times New Roman"/>
          <w:b/>
          <w:bCs/>
          <w:color w:val="303030"/>
          <w:sz w:val="24"/>
          <w:szCs w:val="24"/>
        </w:rPr>
        <w:t>included</w:t>
      </w:r>
      <w:proofErr w:type="gramEnd"/>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 xml:space="preserve">Various elements of the merger agreement (deal terms and consideration, treatment of dilutive securities, breakup fees, MAC clause) are summarized and are more clearly laid out in the merger proxy than in the legal jargon-heavy merger agreement. The proxy also </w:t>
      </w:r>
      <w:r w:rsidRPr="00F96911">
        <w:rPr>
          <w:rFonts w:ascii="Times New Roman" w:eastAsia="Times New Roman" w:hAnsi="Times New Roman" w:cs="Times New Roman"/>
          <w:color w:val="303030"/>
          <w:sz w:val="24"/>
          <w:szCs w:val="24"/>
        </w:rPr>
        <w:lastRenderedPageBreak/>
        <w:t>includes critical detail on the </w:t>
      </w:r>
      <w:hyperlink r:id="rId12" w:history="1">
        <w:r w:rsidRPr="00F96911">
          <w:rPr>
            <w:rFonts w:ascii="Times New Roman" w:eastAsia="Times New Roman" w:hAnsi="Times New Roman" w:cs="Times New Roman"/>
            <w:color w:val="0B8ECC"/>
            <w:sz w:val="24"/>
            <w:szCs w:val="24"/>
            <w:u w:val="single"/>
          </w:rPr>
          <w:t>background of the merger</w:t>
        </w:r>
      </w:hyperlink>
      <w:r w:rsidRPr="00F96911">
        <w:rPr>
          <w:rFonts w:ascii="Times New Roman" w:eastAsia="Times New Roman" w:hAnsi="Times New Roman" w:cs="Times New Roman"/>
          <w:color w:val="303030"/>
          <w:sz w:val="24"/>
          <w:szCs w:val="24"/>
        </w:rPr>
        <w:t>, the </w:t>
      </w:r>
      <w:hyperlink r:id="rId13" w:history="1">
        <w:r w:rsidRPr="00F96911">
          <w:rPr>
            <w:rFonts w:ascii="Times New Roman" w:eastAsia="Times New Roman" w:hAnsi="Times New Roman" w:cs="Times New Roman"/>
            <w:color w:val="0B8ECC"/>
            <w:sz w:val="24"/>
            <w:szCs w:val="24"/>
            <w:u w:val="single"/>
          </w:rPr>
          <w:t>fairness opinion</w:t>
        </w:r>
      </w:hyperlink>
      <w:r w:rsidRPr="00F96911">
        <w:rPr>
          <w:rFonts w:ascii="Times New Roman" w:eastAsia="Times New Roman" w:hAnsi="Times New Roman" w:cs="Times New Roman"/>
          <w:color w:val="303030"/>
          <w:sz w:val="24"/>
          <w:szCs w:val="24"/>
        </w:rPr>
        <w:t>, the seller’s financial projections, and the compensation and post-deal treatment of seller’s management.</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Here is LinkedIn’s </w:t>
      </w:r>
      <w:hyperlink r:id="rId14" w:history="1">
        <w:r w:rsidRPr="00F96911">
          <w:rPr>
            <w:rFonts w:ascii="Times New Roman" w:eastAsia="Times New Roman" w:hAnsi="Times New Roman" w:cs="Times New Roman"/>
            <w:color w:val="0B8ECC"/>
            <w:sz w:val="24"/>
            <w:szCs w:val="24"/>
            <w:u w:val="single"/>
          </w:rPr>
          <w:t>merger proxy</w:t>
        </w:r>
      </w:hyperlink>
      <w:r w:rsidRPr="00F96911">
        <w:rPr>
          <w:rFonts w:ascii="Times New Roman" w:eastAsia="Times New Roman" w:hAnsi="Times New Roman" w:cs="Times New Roman"/>
          <w:color w:val="303030"/>
          <w:sz w:val="24"/>
          <w:szCs w:val="24"/>
        </w:rPr>
        <w:t>, filed July 22, 2016, 6 weeks after deal announcement.</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b/>
          <w:bCs/>
          <w:color w:val="303030"/>
          <w:sz w:val="24"/>
          <w:szCs w:val="24"/>
        </w:rPr>
        <w:t>Information statement (PREM14C and DEFM14C)</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Targets in certain mergers will file the PREM14C and the DEFM14C instead of the DEFM14A/PREM14A. This happens when one or more shareholders hold a majority of the shares and are able to provide approval without a full shareholder vote through written consent. The documents will contain similar information to the regular merger proxy.</w:t>
      </w:r>
    </w:p>
    <w:p w:rsidR="007F2582" w:rsidRPr="00F96911" w:rsidRDefault="007F2582" w:rsidP="007F2582">
      <w:pPr>
        <w:spacing w:after="0" w:line="240" w:lineRule="auto"/>
        <w:textAlignment w:val="baseline"/>
        <w:outlineLvl w:val="1"/>
        <w:rPr>
          <w:rFonts w:ascii="Times New Roman" w:eastAsia="Times New Roman" w:hAnsi="Times New Roman" w:cs="Times New Roman"/>
          <w:b/>
          <w:bCs/>
          <w:color w:val="303030"/>
          <w:sz w:val="24"/>
          <w:szCs w:val="24"/>
        </w:rPr>
      </w:pPr>
      <w:r w:rsidRPr="00F96911">
        <w:rPr>
          <w:rFonts w:ascii="Times New Roman" w:eastAsia="Times New Roman" w:hAnsi="Times New Roman" w:cs="Times New Roman"/>
          <w:b/>
          <w:bCs/>
          <w:color w:val="303030"/>
          <w:sz w:val="24"/>
          <w:szCs w:val="24"/>
        </w:rPr>
        <w:t>M&amp;A documents in deals structured as tender offers and exchange offers</w:t>
      </w:r>
    </w:p>
    <w:p w:rsidR="007F2582" w:rsidRPr="00F96911" w:rsidRDefault="007F2582" w:rsidP="007F2582">
      <w:pPr>
        <w:spacing w:after="0" w:line="240" w:lineRule="auto"/>
        <w:textAlignment w:val="baseline"/>
        <w:outlineLvl w:val="2"/>
        <w:rPr>
          <w:rFonts w:ascii="Times New Roman" w:eastAsia="Times New Roman" w:hAnsi="Times New Roman" w:cs="Times New Roman"/>
          <w:b/>
          <w:bCs/>
          <w:color w:val="0B8ECC"/>
          <w:sz w:val="24"/>
          <w:szCs w:val="24"/>
        </w:rPr>
      </w:pPr>
      <w:r w:rsidRPr="00F96911">
        <w:rPr>
          <w:rFonts w:ascii="Times New Roman" w:eastAsia="Times New Roman" w:hAnsi="Times New Roman" w:cs="Times New Roman"/>
          <w:b/>
          <w:bCs/>
          <w:color w:val="0B8ECC"/>
          <w:sz w:val="24"/>
          <w:szCs w:val="24"/>
        </w:rPr>
        <w:t>The buyer’s tender offer: Schedule TO</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To initiate a tender offer, the buyer will send an “Offer to Purchase” to each shareholder. The target must file a Schedule TO with the SEC, with the tender offer or exchange offer attached as an exhibit. The Schedule TO will contain key deal terms.</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In May 2012, GlaxoSmithKline sought to acquire Human Genome Sciences for $13.00 in cash per share in a hostile takeover bid via </w:t>
      </w:r>
      <w:hyperlink r:id="rId15" w:history="1">
        <w:r w:rsidRPr="00F96911">
          <w:rPr>
            <w:rFonts w:ascii="Times New Roman" w:eastAsia="Times New Roman" w:hAnsi="Times New Roman" w:cs="Times New Roman"/>
            <w:color w:val="0B8ECC"/>
            <w:sz w:val="24"/>
            <w:szCs w:val="24"/>
            <w:u w:val="single"/>
          </w:rPr>
          <w:t>this tender offer</w:t>
        </w:r>
      </w:hyperlink>
      <w:r w:rsidRPr="00F96911">
        <w:rPr>
          <w:rFonts w:ascii="Times New Roman" w:eastAsia="Times New Roman" w:hAnsi="Times New Roman" w:cs="Times New Roman"/>
          <w:color w:val="303030"/>
          <w:sz w:val="24"/>
          <w:szCs w:val="24"/>
        </w:rPr>
        <w:t>.</w:t>
      </w:r>
    </w:p>
    <w:p w:rsidR="007F2582" w:rsidRPr="00F96911" w:rsidRDefault="007F2582" w:rsidP="007F2582">
      <w:pPr>
        <w:spacing w:after="0" w:line="240" w:lineRule="auto"/>
        <w:textAlignment w:val="baseline"/>
        <w:outlineLvl w:val="2"/>
        <w:rPr>
          <w:rFonts w:ascii="Times New Roman" w:eastAsia="Times New Roman" w:hAnsi="Times New Roman" w:cs="Times New Roman"/>
          <w:b/>
          <w:bCs/>
          <w:color w:val="0B8ECC"/>
          <w:sz w:val="24"/>
          <w:szCs w:val="24"/>
        </w:rPr>
      </w:pPr>
      <w:r w:rsidRPr="00F96911">
        <w:rPr>
          <w:rFonts w:ascii="Times New Roman" w:eastAsia="Times New Roman" w:hAnsi="Times New Roman" w:cs="Times New Roman"/>
          <w:b/>
          <w:bCs/>
          <w:color w:val="0B8ECC"/>
          <w:sz w:val="24"/>
          <w:szCs w:val="24"/>
        </w:rPr>
        <w:t>The target board’s response to a tender offer: Schedule 14D-9</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The target’s board must file their recommendation (in a schedule 14D-9) in response to the tender offer within 10 days. In a hostile takeover attempt, the target will recommend against the tender offer. Here is Human Genome’s </w:t>
      </w:r>
      <w:hyperlink r:id="rId16" w:history="1">
        <w:r w:rsidRPr="00F96911">
          <w:rPr>
            <w:rFonts w:ascii="Times New Roman" w:eastAsia="Times New Roman" w:hAnsi="Times New Roman" w:cs="Times New Roman"/>
            <w:color w:val="0B8ECC"/>
            <w:sz w:val="24"/>
            <w:szCs w:val="24"/>
            <w:u w:val="single"/>
          </w:rPr>
          <w:t>14D-9 recommending against the tender offer</w:t>
        </w:r>
      </w:hyperlink>
      <w:r w:rsidRPr="00F96911">
        <w:rPr>
          <w:rFonts w:ascii="Times New Roman" w:eastAsia="Times New Roman" w:hAnsi="Times New Roman" w:cs="Times New Roman"/>
          <w:color w:val="303030"/>
          <w:sz w:val="24"/>
          <w:szCs w:val="24"/>
        </w:rPr>
        <w:t>.</w:t>
      </w:r>
    </w:p>
    <w:p w:rsidR="007F2582" w:rsidRPr="00F96911" w:rsidRDefault="007F2582" w:rsidP="007F2582">
      <w:pPr>
        <w:shd w:val="clear" w:color="auto" w:fill="FFF4EF"/>
        <w:spacing w:after="0" w:line="240" w:lineRule="auto"/>
        <w:textAlignment w:val="baseline"/>
        <w:outlineLvl w:val="5"/>
        <w:rPr>
          <w:rFonts w:ascii="Times New Roman" w:eastAsia="Times New Roman" w:hAnsi="Times New Roman" w:cs="Times New Roman"/>
          <w:b/>
          <w:bCs/>
          <w:caps/>
          <w:color w:val="EF5008"/>
          <w:spacing w:val="15"/>
          <w:sz w:val="24"/>
          <w:szCs w:val="24"/>
        </w:rPr>
      </w:pPr>
      <w:r w:rsidRPr="00F96911">
        <w:rPr>
          <w:rFonts w:ascii="Times New Roman" w:eastAsia="Times New Roman" w:hAnsi="Times New Roman" w:cs="Times New Roman"/>
          <w:b/>
          <w:bCs/>
          <w:caps/>
          <w:color w:val="EF5008"/>
          <w:spacing w:val="15"/>
          <w:sz w:val="24"/>
          <w:szCs w:val="24"/>
        </w:rPr>
        <w:t>IN PRACTICE</w:t>
      </w:r>
    </w:p>
    <w:p w:rsidR="007F2582" w:rsidRPr="00F96911" w:rsidRDefault="007F2582" w:rsidP="007F2582">
      <w:pPr>
        <w:shd w:val="clear" w:color="auto" w:fill="FFF4EF"/>
        <w:spacing w:after="0" w:line="240" w:lineRule="auto"/>
        <w:textAlignment w:val="baseline"/>
        <w:rPr>
          <w:rFonts w:ascii="Times New Roman" w:eastAsia="Times New Roman" w:hAnsi="Times New Roman" w:cs="Times New Roman"/>
          <w:color w:val="303030"/>
          <w:sz w:val="24"/>
          <w:szCs w:val="24"/>
        </w:rPr>
      </w:pPr>
      <w:proofErr w:type="gramStart"/>
      <w:r w:rsidRPr="00F96911">
        <w:rPr>
          <w:rFonts w:ascii="Times New Roman" w:eastAsia="Times New Roman" w:hAnsi="Times New Roman" w:cs="Times New Roman"/>
          <w:color w:val="303030"/>
          <w:sz w:val="24"/>
          <w:szCs w:val="24"/>
        </w:rPr>
        <w:t>the</w:t>
      </w:r>
      <w:proofErr w:type="gramEnd"/>
      <w:r w:rsidRPr="00F96911">
        <w:rPr>
          <w:rFonts w:ascii="Times New Roman" w:eastAsia="Times New Roman" w:hAnsi="Times New Roman" w:cs="Times New Roman"/>
          <w:color w:val="303030"/>
          <w:sz w:val="24"/>
          <w:szCs w:val="24"/>
        </w:rPr>
        <w:t xml:space="preserve"> Schedule 14D-9’s response to unsolicited hostile tender offers is where you’ll see the rare fairness opinion that claims a transaction isn’t fair.</w:t>
      </w:r>
    </w:p>
    <w:p w:rsidR="007F2582" w:rsidRPr="00F96911" w:rsidRDefault="007F2582" w:rsidP="007F2582">
      <w:pPr>
        <w:spacing w:after="0" w:line="240" w:lineRule="auto"/>
        <w:textAlignment w:val="baseline"/>
        <w:outlineLvl w:val="1"/>
        <w:rPr>
          <w:rFonts w:ascii="Times New Roman" w:eastAsia="Times New Roman" w:hAnsi="Times New Roman" w:cs="Times New Roman"/>
          <w:b/>
          <w:bCs/>
          <w:color w:val="303030"/>
          <w:sz w:val="24"/>
          <w:szCs w:val="24"/>
        </w:rPr>
      </w:pPr>
      <w:r w:rsidRPr="00F96911">
        <w:rPr>
          <w:rFonts w:ascii="Times New Roman" w:eastAsia="Times New Roman" w:hAnsi="Times New Roman" w:cs="Times New Roman"/>
          <w:b/>
          <w:bCs/>
          <w:color w:val="303030"/>
          <w:sz w:val="24"/>
          <w:szCs w:val="24"/>
        </w:rPr>
        <w:t>Prospectus</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When new shares are issued as part of a merger or exchange offer, a registration statement (S-4) will be filed by the acquirer, requesting that the acquirer’s own shareholders approve the issuance of shares. Sometimes, a registration statement will also include the target merger proxy and will be filed as a joint proxy statement/prospectus. The S-4 usually contains the same detailed information as the merger proxy. Like the merger proxy, it is usually filed several weeks after the transaction is announced.</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b/>
          <w:bCs/>
          <w:color w:val="303030"/>
          <w:sz w:val="24"/>
          <w:szCs w:val="24"/>
        </w:rPr>
        <w:t xml:space="preserve">Prospectus </w:t>
      </w:r>
      <w:proofErr w:type="spellStart"/>
      <w:r w:rsidRPr="00F96911">
        <w:rPr>
          <w:rFonts w:ascii="Times New Roman" w:eastAsia="Times New Roman" w:hAnsi="Times New Roman" w:cs="Times New Roman"/>
          <w:b/>
          <w:bCs/>
          <w:color w:val="303030"/>
          <w:sz w:val="24"/>
          <w:szCs w:val="24"/>
        </w:rPr>
        <w:t>vs</w:t>
      </w:r>
      <w:proofErr w:type="spellEnd"/>
      <w:r w:rsidRPr="00F96911">
        <w:rPr>
          <w:rFonts w:ascii="Times New Roman" w:eastAsia="Times New Roman" w:hAnsi="Times New Roman" w:cs="Times New Roman"/>
          <w:b/>
          <w:bCs/>
          <w:color w:val="303030"/>
          <w:sz w:val="24"/>
          <w:szCs w:val="24"/>
        </w:rPr>
        <w:t xml:space="preserve"> merger proxy</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 xml:space="preserve">As an example, 3 months after Procter &amp; Gamble announced it was acquiring </w:t>
      </w:r>
      <w:proofErr w:type="gramStart"/>
      <w:r w:rsidRPr="00F96911">
        <w:rPr>
          <w:rFonts w:ascii="Times New Roman" w:eastAsia="Times New Roman" w:hAnsi="Times New Roman" w:cs="Times New Roman"/>
          <w:color w:val="303030"/>
          <w:sz w:val="24"/>
          <w:szCs w:val="24"/>
        </w:rPr>
        <w:t>Gillette,</w:t>
      </w:r>
      <w:proofErr w:type="gramEnd"/>
      <w:r w:rsidRPr="00F96911">
        <w:rPr>
          <w:rFonts w:ascii="Times New Roman" w:eastAsia="Times New Roman" w:hAnsi="Times New Roman" w:cs="Times New Roman"/>
          <w:color w:val="303030"/>
          <w:sz w:val="24"/>
          <w:szCs w:val="24"/>
        </w:rPr>
        <w:t xml:space="preserve"> it filed an S-4 with the SEC. It included both the preliminary joint proxy statement and prospectus. The definitive merger proxy was filed by Gillette 2 months later. In this case, since the proxy was filed later, it contained more updated detail, including projections. Otherwise, the material was largely identical.</w:t>
      </w:r>
    </w:p>
    <w:p w:rsidR="007F2582" w:rsidRPr="00F96911" w:rsidRDefault="007F2582" w:rsidP="007F2582">
      <w:pPr>
        <w:spacing w:after="0" w:line="240" w:lineRule="auto"/>
        <w:textAlignment w:val="baseline"/>
        <w:rPr>
          <w:rFonts w:ascii="Times New Roman" w:eastAsia="Times New Roman" w:hAnsi="Times New Roman" w:cs="Times New Roman"/>
          <w:color w:val="303030"/>
          <w:sz w:val="24"/>
          <w:szCs w:val="24"/>
        </w:rPr>
      </w:pPr>
      <w:r w:rsidRPr="00F96911">
        <w:rPr>
          <w:rFonts w:ascii="Times New Roman" w:eastAsia="Times New Roman" w:hAnsi="Times New Roman" w:cs="Times New Roman"/>
          <w:color w:val="303030"/>
          <w:sz w:val="24"/>
          <w:szCs w:val="24"/>
        </w:rPr>
        <w:t>Generally, you want to go with the most recently filed document, as it contains the most updated information.</w:t>
      </w:r>
    </w:p>
    <w:p w:rsidR="007F2582" w:rsidRPr="00F96911" w:rsidRDefault="007F2582" w:rsidP="007F2582">
      <w:pPr>
        <w:spacing w:after="0" w:line="240" w:lineRule="auto"/>
        <w:textAlignment w:val="baseline"/>
        <w:outlineLvl w:val="1"/>
        <w:rPr>
          <w:rFonts w:ascii="Times New Roman" w:eastAsia="Times New Roman" w:hAnsi="Times New Roman" w:cs="Times New Roman"/>
          <w:b/>
          <w:bCs/>
          <w:color w:val="303030"/>
          <w:sz w:val="24"/>
          <w:szCs w:val="24"/>
        </w:rPr>
      </w:pPr>
      <w:r w:rsidRPr="00F96911">
        <w:rPr>
          <w:rFonts w:ascii="Times New Roman" w:eastAsia="Times New Roman" w:hAnsi="Times New Roman" w:cs="Times New Roman"/>
          <w:b/>
          <w:bCs/>
          <w:color w:val="303030"/>
          <w:sz w:val="24"/>
          <w:szCs w:val="24"/>
        </w:rPr>
        <w:t>Summary of key M&amp;A documents for finding deal terms of public targets</w:t>
      </w:r>
    </w:p>
    <w:tbl>
      <w:tblPr>
        <w:tblW w:w="0" w:type="auto"/>
        <w:tblLayout w:type="fixed"/>
        <w:tblCellMar>
          <w:left w:w="0" w:type="dxa"/>
          <w:right w:w="0" w:type="dxa"/>
        </w:tblCellMar>
        <w:tblLook w:val="04A0"/>
      </w:tblPr>
      <w:tblGrid>
        <w:gridCol w:w="2250"/>
        <w:gridCol w:w="1350"/>
        <w:gridCol w:w="2070"/>
        <w:gridCol w:w="3930"/>
      </w:tblGrid>
      <w:tr w:rsidR="007F2582" w:rsidRPr="00F96911" w:rsidTr="00F96911">
        <w:trPr>
          <w:tblHeader/>
        </w:trPr>
        <w:tc>
          <w:tcPr>
            <w:tcW w:w="2250" w:type="dxa"/>
            <w:tcBorders>
              <w:top w:val="nil"/>
              <w:left w:val="nil"/>
              <w:bottom w:val="nil"/>
              <w:right w:val="nil"/>
            </w:tcBorders>
            <w:tcMar>
              <w:top w:w="180" w:type="dxa"/>
              <w:left w:w="0" w:type="dxa"/>
              <w:bottom w:w="180" w:type="dxa"/>
              <w:right w:w="240" w:type="dxa"/>
            </w:tcMar>
            <w:vAlign w:val="center"/>
            <w:hideMark/>
          </w:tcPr>
          <w:p w:rsidR="007F2582" w:rsidRPr="00F96911" w:rsidRDefault="007F2582" w:rsidP="007F2582">
            <w:pPr>
              <w:spacing w:after="0" w:line="240" w:lineRule="auto"/>
              <w:rPr>
                <w:rFonts w:ascii="Times New Roman" w:eastAsia="Times New Roman" w:hAnsi="Times New Roman" w:cs="Times New Roman"/>
                <w:b/>
                <w:bCs/>
                <w:color w:val="EF5008"/>
                <w:sz w:val="24"/>
                <w:szCs w:val="24"/>
              </w:rPr>
            </w:pPr>
            <w:r w:rsidRPr="00F96911">
              <w:rPr>
                <w:rFonts w:ascii="Times New Roman" w:eastAsia="Times New Roman" w:hAnsi="Times New Roman" w:cs="Times New Roman"/>
                <w:b/>
                <w:bCs/>
                <w:color w:val="EF5008"/>
                <w:sz w:val="24"/>
                <w:szCs w:val="24"/>
              </w:rPr>
              <w:lastRenderedPageBreak/>
              <w:t>Acquisition type</w:t>
            </w:r>
          </w:p>
        </w:tc>
        <w:tc>
          <w:tcPr>
            <w:tcW w:w="1350" w:type="dxa"/>
            <w:tcBorders>
              <w:top w:val="nil"/>
              <w:left w:val="nil"/>
              <w:bottom w:val="nil"/>
              <w:right w:val="nil"/>
            </w:tcBorders>
            <w:tcMar>
              <w:top w:w="180" w:type="dxa"/>
              <w:left w:w="0" w:type="dxa"/>
              <w:bottom w:w="180" w:type="dxa"/>
              <w:right w:w="240" w:type="dxa"/>
            </w:tcMar>
            <w:vAlign w:val="center"/>
            <w:hideMark/>
          </w:tcPr>
          <w:p w:rsidR="007F2582" w:rsidRPr="00F96911" w:rsidRDefault="007F2582" w:rsidP="007F2582">
            <w:pPr>
              <w:spacing w:after="0" w:line="240" w:lineRule="auto"/>
              <w:rPr>
                <w:rFonts w:ascii="Times New Roman" w:eastAsia="Times New Roman" w:hAnsi="Times New Roman" w:cs="Times New Roman"/>
                <w:b/>
                <w:bCs/>
                <w:color w:val="EF5008"/>
                <w:sz w:val="24"/>
                <w:szCs w:val="24"/>
              </w:rPr>
            </w:pPr>
            <w:r w:rsidRPr="00F96911">
              <w:rPr>
                <w:rFonts w:ascii="Times New Roman" w:eastAsia="Times New Roman" w:hAnsi="Times New Roman" w:cs="Times New Roman"/>
                <w:b/>
                <w:bCs/>
                <w:color w:val="EF5008"/>
                <w:sz w:val="24"/>
                <w:szCs w:val="24"/>
              </w:rPr>
              <w:t>Document</w:t>
            </w:r>
          </w:p>
        </w:tc>
        <w:tc>
          <w:tcPr>
            <w:tcW w:w="2070" w:type="dxa"/>
            <w:tcBorders>
              <w:top w:val="nil"/>
              <w:left w:val="nil"/>
              <w:bottom w:val="nil"/>
              <w:right w:val="nil"/>
            </w:tcBorders>
            <w:tcMar>
              <w:top w:w="180" w:type="dxa"/>
              <w:left w:w="0" w:type="dxa"/>
              <w:bottom w:w="180" w:type="dxa"/>
              <w:right w:w="240" w:type="dxa"/>
            </w:tcMar>
            <w:vAlign w:val="center"/>
            <w:hideMark/>
          </w:tcPr>
          <w:p w:rsidR="007F2582" w:rsidRPr="00F96911" w:rsidRDefault="007F2582" w:rsidP="007F2582">
            <w:pPr>
              <w:spacing w:after="0" w:line="240" w:lineRule="auto"/>
              <w:rPr>
                <w:rFonts w:ascii="Times New Roman" w:eastAsia="Times New Roman" w:hAnsi="Times New Roman" w:cs="Times New Roman"/>
                <w:b/>
                <w:bCs/>
                <w:color w:val="EF5008"/>
                <w:sz w:val="24"/>
                <w:szCs w:val="24"/>
              </w:rPr>
            </w:pPr>
            <w:r w:rsidRPr="00F96911">
              <w:rPr>
                <w:rFonts w:ascii="Times New Roman" w:eastAsia="Times New Roman" w:hAnsi="Times New Roman" w:cs="Times New Roman"/>
                <w:b/>
                <w:bCs/>
                <w:color w:val="EF5008"/>
                <w:sz w:val="24"/>
                <w:szCs w:val="24"/>
              </w:rPr>
              <w:t>Date filed</w:t>
            </w:r>
          </w:p>
        </w:tc>
        <w:tc>
          <w:tcPr>
            <w:tcW w:w="3930" w:type="dxa"/>
            <w:tcBorders>
              <w:top w:val="nil"/>
              <w:left w:val="nil"/>
              <w:bottom w:val="nil"/>
              <w:right w:val="nil"/>
            </w:tcBorders>
            <w:tcMar>
              <w:top w:w="180" w:type="dxa"/>
              <w:left w:w="0" w:type="dxa"/>
              <w:bottom w:w="180" w:type="dxa"/>
              <w:right w:w="240" w:type="dxa"/>
            </w:tcMar>
            <w:vAlign w:val="center"/>
            <w:hideMark/>
          </w:tcPr>
          <w:p w:rsidR="007F2582" w:rsidRPr="00F96911" w:rsidRDefault="007F2582" w:rsidP="007F2582">
            <w:pPr>
              <w:spacing w:after="0" w:line="240" w:lineRule="auto"/>
              <w:rPr>
                <w:rFonts w:ascii="Times New Roman" w:eastAsia="Times New Roman" w:hAnsi="Times New Roman" w:cs="Times New Roman"/>
                <w:b/>
                <w:bCs/>
                <w:color w:val="EF5008"/>
                <w:sz w:val="24"/>
                <w:szCs w:val="24"/>
              </w:rPr>
            </w:pPr>
            <w:r w:rsidRPr="00F96911">
              <w:rPr>
                <w:rFonts w:ascii="Times New Roman" w:eastAsia="Times New Roman" w:hAnsi="Times New Roman" w:cs="Times New Roman"/>
                <w:b/>
                <w:bCs/>
                <w:color w:val="EF5008"/>
                <w:sz w:val="24"/>
                <w:szCs w:val="24"/>
              </w:rPr>
              <w:t>Best place to find it</w:t>
            </w:r>
          </w:p>
        </w:tc>
      </w:tr>
      <w:tr w:rsidR="007F2582" w:rsidRPr="00F96911" w:rsidTr="00F96911">
        <w:tc>
          <w:tcPr>
            <w:tcW w:w="22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Mergers</w:t>
            </w:r>
          </w:p>
        </w:tc>
        <w:tc>
          <w:tcPr>
            <w:tcW w:w="13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Press release</w:t>
            </w:r>
          </w:p>
        </w:tc>
        <w:tc>
          <w:tcPr>
            <w:tcW w:w="207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Announcement date</w:t>
            </w:r>
          </w:p>
        </w:tc>
        <w:tc>
          <w:tcPr>
            <w:tcW w:w="3930" w:type="dxa"/>
            <w:shd w:val="clear" w:color="auto" w:fill="F9F9F9"/>
            <w:tcMar>
              <w:top w:w="180" w:type="dxa"/>
              <w:left w:w="240" w:type="dxa"/>
              <w:bottom w:w="180" w:type="dxa"/>
              <w:right w:w="240" w:type="dxa"/>
            </w:tcMar>
            <w:hideMark/>
          </w:tcPr>
          <w:p w:rsidR="007F2582" w:rsidRPr="00F96911" w:rsidRDefault="007F2582" w:rsidP="007F2582">
            <w:pPr>
              <w:numPr>
                <w:ilvl w:val="0"/>
                <w:numId w:val="2"/>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(likely also acquirer) will file SEC form 8K (could be in an 8K exhibit)</w:t>
            </w:r>
          </w:p>
          <w:p w:rsidR="007F2582" w:rsidRPr="00F96911" w:rsidRDefault="007F2582" w:rsidP="007F2582">
            <w:pPr>
              <w:numPr>
                <w:ilvl w:val="0"/>
                <w:numId w:val="2"/>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(likely also acquirer) website</w:t>
            </w:r>
          </w:p>
          <w:p w:rsidR="007F2582" w:rsidRPr="00F96911" w:rsidRDefault="007414DE" w:rsidP="00050880">
            <w:pPr>
              <w:numPr>
                <w:ilvl w:val="0"/>
                <w:numId w:val="2"/>
              </w:numPr>
              <w:spacing w:after="0" w:line="240" w:lineRule="auto"/>
              <w:ind w:left="0"/>
              <w:textAlignment w:val="baseline"/>
              <w:rPr>
                <w:rFonts w:ascii="Times New Roman" w:eastAsia="Times New Roman" w:hAnsi="Times New Roman" w:cs="Times New Roman"/>
                <w:sz w:val="24"/>
                <w:szCs w:val="24"/>
              </w:rPr>
            </w:pPr>
            <w:hyperlink r:id="rId17" w:history="1"/>
            <w:r w:rsidR="00050880">
              <w:rPr>
                <w:rFonts w:ascii="Times New Roman" w:hAnsi="Times New Roman" w:cs="Times New Roman"/>
                <w:sz w:val="24"/>
                <w:szCs w:val="24"/>
              </w:rPr>
              <w:t xml:space="preserve"> </w:t>
            </w:r>
          </w:p>
        </w:tc>
      </w:tr>
      <w:tr w:rsidR="007F2582" w:rsidRPr="00F96911" w:rsidTr="00F96911">
        <w:tc>
          <w:tcPr>
            <w:tcW w:w="22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Mergers</w:t>
            </w:r>
          </w:p>
        </w:tc>
        <w:tc>
          <w:tcPr>
            <w:tcW w:w="13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Definitive agreement</w:t>
            </w:r>
          </w:p>
        </w:tc>
        <w:tc>
          <w:tcPr>
            <w:tcW w:w="207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Announcement date</w:t>
            </w:r>
          </w:p>
        </w:tc>
        <w:tc>
          <w:tcPr>
            <w:tcW w:w="3930" w:type="dxa"/>
            <w:tcMar>
              <w:top w:w="180" w:type="dxa"/>
              <w:left w:w="240" w:type="dxa"/>
              <w:bottom w:w="180" w:type="dxa"/>
              <w:right w:w="240" w:type="dxa"/>
            </w:tcMar>
            <w:hideMark/>
          </w:tcPr>
          <w:p w:rsidR="007F2582" w:rsidRPr="00F96911" w:rsidRDefault="007F2582" w:rsidP="007F2582">
            <w:pPr>
              <w:numPr>
                <w:ilvl w:val="0"/>
                <w:numId w:val="3"/>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8K (often the same 8K that contains press release)</w:t>
            </w:r>
          </w:p>
          <w:p w:rsidR="007F2582" w:rsidRPr="00F96911" w:rsidRDefault="00050880" w:rsidP="007F2582">
            <w:pPr>
              <w:numPr>
                <w:ilvl w:val="0"/>
                <w:numId w:val="3"/>
              </w:numPr>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2582" w:rsidRPr="00F96911" w:rsidTr="00F96911">
        <w:tc>
          <w:tcPr>
            <w:tcW w:w="22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Mergers</w:t>
            </w:r>
          </w:p>
        </w:tc>
        <w:tc>
          <w:tcPr>
            <w:tcW w:w="13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Merger proxy</w:t>
            </w:r>
          </w:p>
        </w:tc>
        <w:tc>
          <w:tcPr>
            <w:tcW w:w="207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Several weeks after the announcement date</w:t>
            </w:r>
          </w:p>
        </w:tc>
        <w:tc>
          <w:tcPr>
            <w:tcW w:w="3930" w:type="dxa"/>
            <w:shd w:val="clear" w:color="auto" w:fill="F9F9F9"/>
            <w:tcMar>
              <w:top w:w="180" w:type="dxa"/>
              <w:left w:w="240" w:type="dxa"/>
              <w:bottom w:w="180" w:type="dxa"/>
              <w:right w:w="240" w:type="dxa"/>
            </w:tcMar>
            <w:hideMark/>
          </w:tcPr>
          <w:p w:rsidR="007F2582" w:rsidRPr="00F96911" w:rsidRDefault="007F2582" w:rsidP="007F2582">
            <w:pPr>
              <w:numPr>
                <w:ilvl w:val="0"/>
                <w:numId w:val="4"/>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PREM14A and DEFM14A</w:t>
            </w:r>
          </w:p>
          <w:p w:rsidR="007F2582" w:rsidRPr="00F96911" w:rsidRDefault="00050880" w:rsidP="007F2582">
            <w:pPr>
              <w:numPr>
                <w:ilvl w:val="0"/>
                <w:numId w:val="4"/>
              </w:numPr>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2582" w:rsidRPr="00F96911" w:rsidTr="00F96911">
        <w:tc>
          <w:tcPr>
            <w:tcW w:w="22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Tender/exchange offers</w:t>
            </w:r>
          </w:p>
        </w:tc>
        <w:tc>
          <w:tcPr>
            <w:tcW w:w="13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Tender offer (or exchange offer)</w:t>
            </w:r>
          </w:p>
        </w:tc>
        <w:tc>
          <w:tcPr>
            <w:tcW w:w="207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Upon initiation of tender offer</w:t>
            </w:r>
          </w:p>
        </w:tc>
        <w:tc>
          <w:tcPr>
            <w:tcW w:w="3930" w:type="dxa"/>
            <w:tcMar>
              <w:top w:w="180" w:type="dxa"/>
              <w:left w:w="240" w:type="dxa"/>
              <w:bottom w:w="180" w:type="dxa"/>
              <w:right w:w="240" w:type="dxa"/>
            </w:tcMar>
            <w:hideMark/>
          </w:tcPr>
          <w:p w:rsidR="007F2582" w:rsidRPr="00F96911" w:rsidRDefault="007F2582" w:rsidP="007F2582">
            <w:pPr>
              <w:numPr>
                <w:ilvl w:val="0"/>
                <w:numId w:val="5"/>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Schedule TO (attached as exhibit)</w:t>
            </w:r>
          </w:p>
          <w:p w:rsidR="007F2582" w:rsidRPr="00F96911" w:rsidRDefault="00050880" w:rsidP="007F2582">
            <w:pPr>
              <w:numPr>
                <w:ilvl w:val="0"/>
                <w:numId w:val="5"/>
              </w:numPr>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2582" w:rsidRPr="00F96911" w:rsidTr="00F96911">
        <w:tc>
          <w:tcPr>
            <w:tcW w:w="22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Tender/exchange offers</w:t>
            </w:r>
          </w:p>
        </w:tc>
        <w:tc>
          <w:tcPr>
            <w:tcW w:w="135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Schedule 14D-9</w:t>
            </w:r>
          </w:p>
        </w:tc>
        <w:tc>
          <w:tcPr>
            <w:tcW w:w="2070" w:type="dxa"/>
            <w:shd w:val="clear" w:color="auto" w:fill="F9F9F9"/>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Within 10 days of filing of Schedule TO</w:t>
            </w:r>
          </w:p>
        </w:tc>
        <w:tc>
          <w:tcPr>
            <w:tcW w:w="3930" w:type="dxa"/>
            <w:shd w:val="clear" w:color="auto" w:fill="F9F9F9"/>
            <w:tcMar>
              <w:top w:w="180" w:type="dxa"/>
              <w:left w:w="240" w:type="dxa"/>
              <w:bottom w:w="180" w:type="dxa"/>
              <w:right w:w="240" w:type="dxa"/>
            </w:tcMar>
            <w:hideMark/>
          </w:tcPr>
          <w:p w:rsidR="007F2582" w:rsidRPr="00F96911" w:rsidRDefault="007F2582" w:rsidP="007F2582">
            <w:pPr>
              <w:numPr>
                <w:ilvl w:val="0"/>
                <w:numId w:val="6"/>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Target Schedule 14D-9</w:t>
            </w:r>
          </w:p>
          <w:p w:rsidR="007F2582" w:rsidRPr="00F96911" w:rsidRDefault="00050880" w:rsidP="007F2582">
            <w:pPr>
              <w:numPr>
                <w:ilvl w:val="0"/>
                <w:numId w:val="6"/>
              </w:numPr>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2582" w:rsidRPr="00F96911" w:rsidTr="00F96911">
        <w:tc>
          <w:tcPr>
            <w:tcW w:w="22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b/>
                <w:bCs/>
                <w:sz w:val="24"/>
                <w:szCs w:val="24"/>
              </w:rPr>
            </w:pPr>
            <w:r w:rsidRPr="00F96911">
              <w:rPr>
                <w:rFonts w:ascii="Times New Roman" w:eastAsia="Times New Roman" w:hAnsi="Times New Roman" w:cs="Times New Roman"/>
                <w:b/>
                <w:bCs/>
                <w:sz w:val="24"/>
                <w:szCs w:val="24"/>
              </w:rPr>
              <w:t>Mergers and exchange offers</w:t>
            </w:r>
          </w:p>
        </w:tc>
        <w:tc>
          <w:tcPr>
            <w:tcW w:w="135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Registration statement/prospectus</w:t>
            </w:r>
          </w:p>
        </w:tc>
        <w:tc>
          <w:tcPr>
            <w:tcW w:w="2070" w:type="dxa"/>
            <w:tcMar>
              <w:top w:w="180" w:type="dxa"/>
              <w:left w:w="240" w:type="dxa"/>
              <w:bottom w:w="180" w:type="dxa"/>
              <w:right w:w="240" w:type="dxa"/>
            </w:tcMar>
            <w:hideMark/>
          </w:tcPr>
          <w:p w:rsidR="007F2582" w:rsidRPr="00F96911" w:rsidRDefault="007F2582" w:rsidP="007F2582">
            <w:pPr>
              <w:spacing w:after="0" w:line="240" w:lineRule="auto"/>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Several weeks after the announcement date</w:t>
            </w:r>
          </w:p>
        </w:tc>
        <w:tc>
          <w:tcPr>
            <w:tcW w:w="3930" w:type="dxa"/>
            <w:tcMar>
              <w:top w:w="180" w:type="dxa"/>
              <w:left w:w="240" w:type="dxa"/>
              <w:bottom w:w="180" w:type="dxa"/>
              <w:right w:w="240" w:type="dxa"/>
            </w:tcMar>
            <w:hideMark/>
          </w:tcPr>
          <w:p w:rsidR="007F2582" w:rsidRPr="00F96911" w:rsidRDefault="007F2582" w:rsidP="007F2582">
            <w:pPr>
              <w:numPr>
                <w:ilvl w:val="0"/>
                <w:numId w:val="7"/>
              </w:numPr>
              <w:spacing w:after="0" w:line="240" w:lineRule="auto"/>
              <w:ind w:left="0"/>
              <w:textAlignment w:val="baseline"/>
              <w:rPr>
                <w:rFonts w:ascii="Times New Roman" w:eastAsia="Times New Roman" w:hAnsi="Times New Roman" w:cs="Times New Roman"/>
                <w:sz w:val="24"/>
                <w:szCs w:val="24"/>
              </w:rPr>
            </w:pPr>
            <w:r w:rsidRPr="00F96911">
              <w:rPr>
                <w:rFonts w:ascii="Times New Roman" w:eastAsia="Times New Roman" w:hAnsi="Times New Roman" w:cs="Times New Roman"/>
                <w:sz w:val="24"/>
                <w:szCs w:val="24"/>
              </w:rPr>
              <w:t>Acquirer Form S-4</w:t>
            </w:r>
          </w:p>
          <w:p w:rsidR="007F2582" w:rsidRPr="00F96911" w:rsidRDefault="00050880" w:rsidP="007F2582">
            <w:pPr>
              <w:numPr>
                <w:ilvl w:val="0"/>
                <w:numId w:val="7"/>
              </w:numPr>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57BAB" w:rsidRPr="00F96911" w:rsidRDefault="00157BAB" w:rsidP="007F2582">
      <w:pPr>
        <w:spacing w:after="0" w:line="240" w:lineRule="auto"/>
        <w:rPr>
          <w:rFonts w:ascii="Times New Roman" w:hAnsi="Times New Roman" w:cs="Times New Roman"/>
          <w:sz w:val="24"/>
          <w:szCs w:val="24"/>
        </w:rPr>
      </w:pPr>
    </w:p>
    <w:sectPr w:rsidR="00157BAB" w:rsidRPr="00F96911" w:rsidSect="00157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D1"/>
    <w:multiLevelType w:val="multilevel"/>
    <w:tmpl w:val="3B6E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D6FA7"/>
    <w:multiLevelType w:val="multilevel"/>
    <w:tmpl w:val="3A7A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30311"/>
    <w:multiLevelType w:val="multilevel"/>
    <w:tmpl w:val="C11E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496DC2"/>
    <w:multiLevelType w:val="multilevel"/>
    <w:tmpl w:val="F23C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F280F"/>
    <w:multiLevelType w:val="multilevel"/>
    <w:tmpl w:val="F722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EF1318"/>
    <w:multiLevelType w:val="multilevel"/>
    <w:tmpl w:val="6C0A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81C1A"/>
    <w:multiLevelType w:val="multilevel"/>
    <w:tmpl w:val="96A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582"/>
    <w:rsid w:val="00050880"/>
    <w:rsid w:val="00157BAB"/>
    <w:rsid w:val="007414DE"/>
    <w:rsid w:val="007F2582"/>
    <w:rsid w:val="00F96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AB"/>
  </w:style>
  <w:style w:type="paragraph" w:styleId="Heading1">
    <w:name w:val="heading 1"/>
    <w:basedOn w:val="Normal"/>
    <w:link w:val="Heading1Char"/>
    <w:uiPriority w:val="9"/>
    <w:qFormat/>
    <w:rsid w:val="007F2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2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2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F25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25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258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F258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F2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582"/>
    <w:rPr>
      <w:color w:val="0000FF"/>
      <w:u w:val="single"/>
    </w:rPr>
  </w:style>
  <w:style w:type="character" w:customStyle="1" w:styleId="count">
    <w:name w:val="count"/>
    <w:basedOn w:val="DefaultParagraphFont"/>
    <w:rsid w:val="007F2582"/>
  </w:style>
  <w:style w:type="paragraph" w:customStyle="1" w:styleId="first-image">
    <w:name w:val="first-image"/>
    <w:basedOn w:val="Normal"/>
    <w:rsid w:val="007F2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582"/>
    <w:rPr>
      <w:b/>
      <w:bCs/>
    </w:rPr>
  </w:style>
  <w:style w:type="character" w:customStyle="1" w:styleId="link-placeholder">
    <w:name w:val="link-placeholder"/>
    <w:basedOn w:val="DefaultParagraphFont"/>
    <w:rsid w:val="007F2582"/>
  </w:style>
  <w:style w:type="paragraph" w:styleId="BalloonText">
    <w:name w:val="Balloon Text"/>
    <w:basedOn w:val="Normal"/>
    <w:link w:val="BalloonTextChar"/>
    <w:uiPriority w:val="99"/>
    <w:semiHidden/>
    <w:unhideWhenUsed/>
    <w:rsid w:val="007F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769234">
      <w:bodyDiv w:val="1"/>
      <w:marLeft w:val="0"/>
      <w:marRight w:val="0"/>
      <w:marTop w:val="0"/>
      <w:marBottom w:val="0"/>
      <w:divBdr>
        <w:top w:val="none" w:sz="0" w:space="0" w:color="auto"/>
        <w:left w:val="none" w:sz="0" w:space="0" w:color="auto"/>
        <w:bottom w:val="none" w:sz="0" w:space="0" w:color="auto"/>
        <w:right w:val="none" w:sz="0" w:space="0" w:color="auto"/>
      </w:divBdr>
      <w:divsChild>
        <w:div w:id="1899511157">
          <w:marLeft w:val="0"/>
          <w:marRight w:val="0"/>
          <w:marTop w:val="0"/>
          <w:marBottom w:val="0"/>
          <w:divBdr>
            <w:top w:val="none" w:sz="0" w:space="0" w:color="auto"/>
            <w:left w:val="none" w:sz="0" w:space="0" w:color="auto"/>
            <w:bottom w:val="none" w:sz="0" w:space="0" w:color="auto"/>
            <w:right w:val="none" w:sz="0" w:space="0" w:color="auto"/>
          </w:divBdr>
          <w:divsChild>
            <w:div w:id="38436826">
              <w:marLeft w:val="0"/>
              <w:marRight w:val="0"/>
              <w:marTop w:val="0"/>
              <w:marBottom w:val="0"/>
              <w:divBdr>
                <w:top w:val="none" w:sz="0" w:space="0" w:color="auto"/>
                <w:left w:val="none" w:sz="0" w:space="0" w:color="auto"/>
                <w:bottom w:val="none" w:sz="0" w:space="0" w:color="auto"/>
                <w:right w:val="none" w:sz="0" w:space="0" w:color="auto"/>
              </w:divBdr>
              <w:divsChild>
                <w:div w:id="14777979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49408687">
          <w:marLeft w:val="0"/>
          <w:marRight w:val="0"/>
          <w:marTop w:val="0"/>
          <w:marBottom w:val="0"/>
          <w:divBdr>
            <w:top w:val="none" w:sz="0" w:space="0" w:color="auto"/>
            <w:left w:val="none" w:sz="0" w:space="0" w:color="auto"/>
            <w:bottom w:val="none" w:sz="0" w:space="0" w:color="auto"/>
            <w:right w:val="none" w:sz="0" w:space="0" w:color="auto"/>
          </w:divBdr>
          <w:divsChild>
            <w:div w:id="1116365402">
              <w:marLeft w:val="0"/>
              <w:marRight w:val="0"/>
              <w:marTop w:val="0"/>
              <w:marBottom w:val="0"/>
              <w:divBdr>
                <w:top w:val="none" w:sz="0" w:space="0" w:color="auto"/>
                <w:left w:val="none" w:sz="0" w:space="0" w:color="auto"/>
                <w:bottom w:val="none" w:sz="0" w:space="0" w:color="auto"/>
                <w:right w:val="none" w:sz="0" w:space="0" w:color="auto"/>
              </w:divBdr>
            </w:div>
            <w:div w:id="720373560">
              <w:marLeft w:val="0"/>
              <w:marRight w:val="0"/>
              <w:marTop w:val="0"/>
              <w:marBottom w:val="0"/>
              <w:divBdr>
                <w:top w:val="none" w:sz="0" w:space="0" w:color="auto"/>
                <w:left w:val="none" w:sz="0" w:space="0" w:color="auto"/>
                <w:bottom w:val="none" w:sz="0" w:space="0" w:color="auto"/>
                <w:right w:val="none" w:sz="0" w:space="0" w:color="auto"/>
              </w:divBdr>
              <w:divsChild>
                <w:div w:id="1100099211">
                  <w:marLeft w:val="0"/>
                  <w:marRight w:val="0"/>
                  <w:marTop w:val="0"/>
                  <w:marBottom w:val="360"/>
                  <w:divBdr>
                    <w:top w:val="none" w:sz="0" w:space="0" w:color="auto"/>
                    <w:left w:val="none" w:sz="0" w:space="0" w:color="auto"/>
                    <w:bottom w:val="none" w:sz="0" w:space="0" w:color="auto"/>
                    <w:right w:val="none" w:sz="0" w:space="0" w:color="auto"/>
                  </w:divBdr>
                </w:div>
              </w:divsChild>
            </w:div>
            <w:div w:id="546381783">
              <w:marLeft w:val="480"/>
              <w:marRight w:val="480"/>
              <w:marTop w:val="720"/>
              <w:marBottom w:val="720"/>
              <w:divBdr>
                <w:top w:val="single" w:sz="24" w:space="24" w:color="EF5008"/>
                <w:left w:val="none" w:sz="0" w:space="24" w:color="auto"/>
                <w:bottom w:val="none" w:sz="0" w:space="24" w:color="auto"/>
                <w:right w:val="none" w:sz="0" w:space="2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wsp-blog-images/uploads/2018/02/06173228/LNKD-merger-agreement.pdf" TargetMode="External"/><Relationship Id="rId13" Type="http://schemas.openxmlformats.org/officeDocument/2006/relationships/hyperlink" Target="https://www.wallstreetprep.com/knowledge/fairness-opinions-whats-dont-really-tell-mu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lstreetprep.com/knowledge/asset-sale-vs-stock-sale/" TargetMode="External"/><Relationship Id="rId12" Type="http://schemas.openxmlformats.org/officeDocument/2006/relationships/hyperlink" Target="https://www.wallstreetprep.com/knowledge/background-merger-interesting-section-merger-proxy/" TargetMode="External"/><Relationship Id="rId17" Type="http://schemas.openxmlformats.org/officeDocument/2006/relationships/hyperlink" Target="https://www.wallstreetprep.com/knowledge/bloomberg-vs-capital-iq-vs-factset-vs-thomson-reuters-eikon/" TargetMode="External"/><Relationship Id="rId2" Type="http://schemas.openxmlformats.org/officeDocument/2006/relationships/styles" Target="styles.xml"/><Relationship Id="rId16" Type="http://schemas.openxmlformats.org/officeDocument/2006/relationships/hyperlink" Target="https://s3.amazonaws.com/wsp-blog-images/uploads/2018/02/07120304/Human-Genome-GSK-rejection-14D9.pdf" TargetMode="External"/><Relationship Id="rId1" Type="http://schemas.openxmlformats.org/officeDocument/2006/relationships/numbering" Target="numbering.xml"/><Relationship Id="rId6" Type="http://schemas.openxmlformats.org/officeDocument/2006/relationships/hyperlink" Target="https://s3.amazonaws.com/wsp-blog-images/uploads/2018/02/06173759/MSFT-LNKDN-Announcement-PR1.pdf" TargetMode="External"/><Relationship Id="rId11" Type="http://schemas.openxmlformats.org/officeDocument/2006/relationships/hyperlink" Target="https://www.wallstreetprep.com/knowledge/how-buyers-pay-in-ma-cash-vs-stock/" TargetMode="External"/><Relationship Id="rId5" Type="http://schemas.openxmlformats.org/officeDocument/2006/relationships/hyperlink" Target="https://www.wallstreetprep.com/knowledge/tender-offer-vs-merger/" TargetMode="External"/><Relationship Id="rId15" Type="http://schemas.openxmlformats.org/officeDocument/2006/relationships/hyperlink" Target="https://s3.amazonaws.com/wsp-blog-images/uploads/2018/02/07115218/GSK-Hostile-Schedule-TO.pdf" TargetMode="External"/><Relationship Id="rId10" Type="http://schemas.openxmlformats.org/officeDocument/2006/relationships/hyperlink" Target="https://www.wallstreetprep.com/knowledge/material-adverse-change-m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llstreetprep.com/knowledge/no-shop-go-shop-ma/" TargetMode="External"/><Relationship Id="rId14" Type="http://schemas.openxmlformats.org/officeDocument/2006/relationships/hyperlink" Target="https://s3.amazonaws.com/wsp-blog-images/uploads/2018/02/06172556/MSFT-LNKDN-Merger-Proxy-DEFM1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2018-04-29T22:16:00Z</dcterms:created>
  <dcterms:modified xsi:type="dcterms:W3CDTF">2018-04-29T22:16:00Z</dcterms:modified>
</cp:coreProperties>
</file>