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drawings/drawing8.xml" ContentType="application/vnd.openxmlformats-officedocument.drawingml.chartshapes+xml"/>
  <Override PartName="/word/theme/themeOverride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Override PartName="/word/drawings/drawing18.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4.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word/drawings/drawing16.xml" ContentType="application/vnd.openxmlformats-officedocument.drawingml.chartshapes+xml"/>
  <Override PartName="/word/footer5.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drawings/drawing2.xml" ContentType="application/vnd.openxmlformats-officedocument.drawingml.chartshapes+xml"/>
  <Override PartName="/word/charts/chart7.xml" ContentType="application/vnd.openxmlformats-officedocument.drawingml.chart+xml"/>
  <Override PartName="/word/charts/chart17.xml" ContentType="application/vnd.openxmlformats-officedocument.drawingml.chart+xml"/>
  <Override PartName="/word/drawings/drawing14.xml" ContentType="application/vnd.openxmlformats-officedocument.drawingml.chartshapes+xml"/>
  <Override PartName="/word/charts/chart26.xml" ContentType="application/vnd.openxmlformats-officedocument.drawingml.chart+xml"/>
  <Override PartName="/word/drawings/drawing23.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drawings/drawing12.xml" ContentType="application/vnd.openxmlformats-officedocument.drawingml.chartshapes+xml"/>
  <Override PartName="/word/charts/chart16.xml" ContentType="application/vnd.openxmlformats-officedocument.drawingml.chart+xml"/>
  <Override PartName="/word/drawings/drawing13.xml" ContentType="application/vnd.openxmlformats-officedocument.drawingml.chartshapes+xml"/>
  <Override PartName="/word/charts/chart24.xml" ContentType="application/vnd.openxmlformats-officedocument.drawingml.chart+xml"/>
  <Override PartName="/word/drawings/drawing21.xml" ContentType="application/vnd.openxmlformats-officedocument.drawingml.chartshapes+xml"/>
  <Override PartName="/word/charts/chart25.xml" ContentType="application/vnd.openxmlformats-officedocument.drawingml.chart+xml"/>
  <Override PartName="/word/drawings/drawing2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drawings/drawing11.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drawings/drawing20.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Override PartName="/word/drawings/drawing9.xml" ContentType="application/vnd.openxmlformats-officedocument.drawingml.chartshapes+xml"/>
  <Override PartName="/word/drawings/drawing7.xml" ContentType="application/vnd.openxmlformats-officedocument.drawingml.chartshapes+xml"/>
  <Override PartName="/word/drawings/drawing19.xml" ContentType="application/vnd.openxmlformats-officedocument.drawingml.chartshap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drawings/drawing3.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drawings/drawing17.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18.xml" ContentType="application/vnd.openxmlformats-officedocument.drawingml.chart+xml"/>
  <Override PartName="/word/drawings/drawing15.xml" ContentType="application/vnd.openxmlformats-officedocument.drawingml.chartshapes+xml"/>
  <Override PartName="/word/charts/chart27.xml" ContentType="application/vnd.openxmlformats-officedocument.drawingml.chart+xml"/>
  <Override PartName="/word/drawings/drawing24.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BB" w:rsidRPr="005861E2" w:rsidRDefault="005861E2" w:rsidP="008E39BB">
      <w:pPr>
        <w:widowControl w:val="0"/>
        <w:jc w:val="center"/>
        <w:rPr>
          <w:b/>
        </w:rPr>
      </w:pPr>
      <w:r w:rsidRPr="005861E2">
        <w:rPr>
          <w:b/>
        </w:rPr>
        <w:t>Internet Appendix</w:t>
      </w:r>
      <w:r w:rsidR="004F658F">
        <w:rPr>
          <w:b/>
        </w:rPr>
        <w:t xml:space="preserve"> for</w:t>
      </w:r>
    </w:p>
    <w:p w:rsidR="005861E2" w:rsidRPr="005861E2" w:rsidRDefault="004065C8" w:rsidP="008E39BB">
      <w:pPr>
        <w:widowControl w:val="0"/>
        <w:jc w:val="center"/>
        <w:rPr>
          <w:b/>
        </w:rPr>
      </w:pPr>
      <w:r>
        <w:rPr>
          <w:b/>
        </w:rPr>
        <w:t>“</w:t>
      </w:r>
      <w:r w:rsidR="005861E2" w:rsidRPr="005861E2">
        <w:rPr>
          <w:b/>
        </w:rPr>
        <w:t>How Stable Are Corporate Capital Structures?</w:t>
      </w:r>
      <w:r>
        <w:rPr>
          <w:b/>
        </w:rPr>
        <w:t>”</w:t>
      </w:r>
      <w:r w:rsidR="004F658F">
        <w:rPr>
          <w:b/>
        </w:rPr>
        <w:t>*</w:t>
      </w:r>
    </w:p>
    <w:p w:rsidR="005861E2" w:rsidRDefault="005861E2" w:rsidP="00AA4744">
      <w:pPr>
        <w:widowControl w:val="0"/>
      </w:pPr>
    </w:p>
    <w:tbl>
      <w:tblPr>
        <w:tblStyle w:val="TableGrid"/>
        <w:tblW w:w="10080"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440"/>
        <w:gridCol w:w="8640"/>
      </w:tblGrid>
      <w:tr w:rsidR="004065C8" w:rsidRPr="00E5475C" w:rsidTr="00DE2A70">
        <w:trPr>
          <w:trHeight w:val="576"/>
          <w:jc w:val="center"/>
        </w:trPr>
        <w:tc>
          <w:tcPr>
            <w:tcW w:w="1440" w:type="dxa"/>
            <w:tcBorders>
              <w:top w:val="single" w:sz="4" w:space="0" w:color="000000" w:themeColor="text1"/>
              <w:left w:val="nil"/>
              <w:bottom w:val="nil"/>
            </w:tcBorders>
            <w:vAlign w:val="center"/>
          </w:tcPr>
          <w:p w:rsidR="004065C8" w:rsidRPr="00E5475C" w:rsidRDefault="004065C8" w:rsidP="005861E2">
            <w:pPr>
              <w:widowControl w:val="0"/>
              <w:rPr>
                <w:rFonts w:eastAsia="Times New Roman" w:cs="Times New Roman"/>
              </w:rPr>
            </w:pPr>
          </w:p>
        </w:tc>
        <w:tc>
          <w:tcPr>
            <w:tcW w:w="8640" w:type="dxa"/>
            <w:vAlign w:val="center"/>
          </w:tcPr>
          <w:p w:rsidR="004065C8" w:rsidRPr="00E5475C" w:rsidRDefault="004065C8" w:rsidP="000060D7">
            <w:pPr>
              <w:rPr>
                <w:rFonts w:eastAsia="Times New Roman" w:cs="Times New Roman"/>
              </w:rPr>
            </w:pPr>
            <w:r>
              <w:rPr>
                <w:rFonts w:eastAsia="Times New Roman" w:cs="Times New Roman"/>
              </w:rPr>
              <w:t>Table of Contents</w:t>
            </w:r>
          </w:p>
        </w:tc>
      </w:tr>
      <w:tr w:rsidR="005861E2" w:rsidRPr="00E5475C" w:rsidTr="00DE2A70">
        <w:trPr>
          <w:trHeight w:val="576"/>
          <w:jc w:val="center"/>
        </w:trPr>
        <w:tc>
          <w:tcPr>
            <w:tcW w:w="1440" w:type="dxa"/>
            <w:tcBorders>
              <w:top w:val="nil"/>
              <w:left w:val="nil"/>
              <w:bottom w:val="nil"/>
            </w:tcBorders>
          </w:tcPr>
          <w:p w:rsidR="005861E2" w:rsidRPr="00E5475C" w:rsidRDefault="000060D7" w:rsidP="005861E2">
            <w:pPr>
              <w:widowControl w:val="0"/>
            </w:pPr>
            <w:r w:rsidRPr="00E5475C">
              <w:rPr>
                <w:rFonts w:eastAsia="Times New Roman" w:cs="Times New Roman"/>
              </w:rPr>
              <w:t xml:space="preserve">Figure </w:t>
            </w:r>
            <w:r w:rsidR="00AA4744">
              <w:rPr>
                <w:rFonts w:eastAsia="Times New Roman" w:cs="Times New Roman"/>
              </w:rPr>
              <w:t>IA.</w:t>
            </w:r>
            <w:r w:rsidRPr="00E5475C">
              <w:rPr>
                <w:rFonts w:eastAsia="Times New Roman" w:cs="Times New Roman"/>
              </w:rPr>
              <w:t>1</w:t>
            </w:r>
          </w:p>
        </w:tc>
        <w:tc>
          <w:tcPr>
            <w:tcW w:w="8640" w:type="dxa"/>
          </w:tcPr>
          <w:p w:rsidR="000060D7" w:rsidRPr="00E5475C" w:rsidRDefault="000060D7" w:rsidP="000060D7">
            <w:pPr>
              <w:rPr>
                <w:rFonts w:eastAsia="Times New Roman" w:cs="Times New Roman"/>
              </w:rPr>
            </w:pPr>
            <w:r w:rsidRPr="00E5475C">
              <w:rPr>
                <w:rFonts w:eastAsia="Times New Roman" w:cs="Times New Roman"/>
              </w:rPr>
              <w:t>Stationary Target Leverage Ratio Models:</w:t>
            </w:r>
          </w:p>
          <w:p w:rsidR="005861E2" w:rsidRPr="00E5475C" w:rsidRDefault="003548EF" w:rsidP="000060D7">
            <w:pPr>
              <w:widowControl w:val="0"/>
            </w:pPr>
            <w:r>
              <w:rPr>
                <w:rFonts w:eastAsia="Times New Roman" w:cs="Times New Roman"/>
              </w:rPr>
              <w:t>Model-Generated</w:t>
            </w:r>
            <w:r w:rsidR="000060D7" w:rsidRPr="00E5475C">
              <w:rPr>
                <w:rFonts w:eastAsia="Times New Roman" w:cs="Times New Roman"/>
              </w:rPr>
              <w:t xml:space="preserve"> versus Actual Instability of the Leverage Cross Section</w:t>
            </w:r>
          </w:p>
        </w:tc>
      </w:tr>
      <w:tr w:rsidR="005861E2" w:rsidRPr="00E5475C" w:rsidTr="00DE2A70">
        <w:trPr>
          <w:trHeight w:val="576"/>
          <w:jc w:val="center"/>
        </w:trPr>
        <w:tc>
          <w:tcPr>
            <w:tcW w:w="1440" w:type="dxa"/>
            <w:tcBorders>
              <w:top w:val="nil"/>
              <w:left w:val="nil"/>
              <w:bottom w:val="nil"/>
            </w:tcBorders>
          </w:tcPr>
          <w:p w:rsidR="005861E2" w:rsidRPr="00E5475C" w:rsidRDefault="000060D7" w:rsidP="00AE2AF4">
            <w:pPr>
              <w:jc w:val="left"/>
            </w:pPr>
            <w:r w:rsidRPr="00E5475C">
              <w:rPr>
                <w:rFonts w:eastAsia="Times New Roman" w:cs="Times New Roman"/>
              </w:rPr>
              <w:t xml:space="preserve">Figure </w:t>
            </w:r>
            <w:r w:rsidR="00AA4744">
              <w:rPr>
                <w:rFonts w:eastAsia="Times New Roman" w:cs="Times New Roman"/>
              </w:rPr>
              <w:t>IA.</w:t>
            </w:r>
            <w:r w:rsidRPr="00E5475C">
              <w:rPr>
                <w:rFonts w:eastAsia="Times New Roman" w:cs="Times New Roman"/>
              </w:rPr>
              <w:t>2</w:t>
            </w:r>
          </w:p>
        </w:tc>
        <w:tc>
          <w:tcPr>
            <w:tcW w:w="8640" w:type="dxa"/>
          </w:tcPr>
          <w:p w:rsidR="0081755F" w:rsidRDefault="000060D7" w:rsidP="00DE2A70">
            <w:pPr>
              <w:jc w:val="left"/>
              <w:rPr>
                <w:rFonts w:eastAsia="Times New Roman" w:cs="Times New Roman"/>
              </w:rPr>
            </w:pPr>
            <w:r w:rsidRPr="00E5475C">
              <w:rPr>
                <w:rFonts w:eastAsia="Times New Roman" w:cs="Times New Roman"/>
              </w:rPr>
              <w:t>Time-</w:t>
            </w:r>
            <w:r w:rsidR="003548EF">
              <w:rPr>
                <w:rFonts w:eastAsia="Times New Roman" w:cs="Times New Roman"/>
              </w:rPr>
              <w:t>V</w:t>
            </w:r>
            <w:r w:rsidRPr="00E5475C">
              <w:rPr>
                <w:rFonts w:eastAsia="Times New Roman" w:cs="Times New Roman"/>
              </w:rPr>
              <w:t>arying Target Leverage Ratio Models:</w:t>
            </w:r>
          </w:p>
          <w:p w:rsidR="005861E2" w:rsidRPr="00E5475C" w:rsidRDefault="003548EF" w:rsidP="00DE2A70">
            <w:pPr>
              <w:jc w:val="left"/>
            </w:pPr>
            <w:r>
              <w:rPr>
                <w:rFonts w:eastAsia="Times New Roman" w:cs="Times New Roman"/>
              </w:rPr>
              <w:t>Model-Generated</w:t>
            </w:r>
            <w:r w:rsidR="000060D7" w:rsidRPr="00E5475C">
              <w:rPr>
                <w:rFonts w:eastAsia="Times New Roman" w:cs="Times New Roman"/>
              </w:rPr>
              <w:t xml:space="preserve"> versus Actual Instability of the Leverage Cross Section</w:t>
            </w:r>
          </w:p>
        </w:tc>
      </w:tr>
      <w:tr w:rsidR="005861E2" w:rsidRPr="00E5475C" w:rsidTr="00DE2A70">
        <w:trPr>
          <w:trHeight w:val="576"/>
          <w:jc w:val="center"/>
        </w:trPr>
        <w:tc>
          <w:tcPr>
            <w:tcW w:w="1440" w:type="dxa"/>
            <w:tcBorders>
              <w:top w:val="nil"/>
              <w:left w:val="nil"/>
              <w:bottom w:val="nil"/>
            </w:tcBorders>
          </w:tcPr>
          <w:p w:rsidR="005861E2" w:rsidRPr="00E5475C" w:rsidRDefault="000060D7" w:rsidP="000060D7">
            <w:pPr>
              <w:jc w:val="left"/>
            </w:pPr>
            <w:r w:rsidRPr="00E5475C">
              <w:rPr>
                <w:rFonts w:eastAsia="Times New Roman" w:cs="Times New Roman"/>
              </w:rPr>
              <w:t xml:space="preserve">Figure </w:t>
            </w:r>
            <w:r w:rsidR="00AA4744">
              <w:rPr>
                <w:rFonts w:eastAsia="Times New Roman" w:cs="Times New Roman"/>
              </w:rPr>
              <w:t>IA.</w:t>
            </w:r>
            <w:r w:rsidRPr="00E5475C">
              <w:rPr>
                <w:rFonts w:eastAsia="Times New Roman" w:cs="Times New Roman"/>
              </w:rPr>
              <w:t>3</w:t>
            </w:r>
          </w:p>
        </w:tc>
        <w:tc>
          <w:tcPr>
            <w:tcW w:w="8640" w:type="dxa"/>
          </w:tcPr>
          <w:p w:rsidR="000060D7" w:rsidRPr="00E5475C" w:rsidRDefault="000060D7" w:rsidP="000060D7">
            <w:pPr>
              <w:jc w:val="left"/>
              <w:rPr>
                <w:rFonts w:eastAsia="Times New Roman" w:cs="Times New Roman"/>
              </w:rPr>
            </w:pPr>
            <w:r w:rsidRPr="00E5475C">
              <w:rPr>
                <w:rFonts w:eastAsia="Times New Roman" w:cs="Times New Roman"/>
              </w:rPr>
              <w:t>Random Leverage Variation with No Targeting Behavior by Firms:</w:t>
            </w:r>
          </w:p>
          <w:p w:rsidR="005861E2" w:rsidRPr="00E5475C" w:rsidRDefault="003548EF" w:rsidP="000060D7">
            <w:pPr>
              <w:widowControl w:val="0"/>
              <w:jc w:val="left"/>
            </w:pPr>
            <w:r>
              <w:rPr>
                <w:rFonts w:eastAsia="Times New Roman" w:cs="Times New Roman"/>
              </w:rPr>
              <w:t>Model-Generated</w:t>
            </w:r>
            <w:r w:rsidR="000060D7" w:rsidRPr="00E5475C">
              <w:rPr>
                <w:rFonts w:eastAsia="Times New Roman" w:cs="Times New Roman"/>
              </w:rPr>
              <w:t xml:space="preserve"> versus Actual Instability of the Leverage Cross Section</w:t>
            </w:r>
          </w:p>
        </w:tc>
      </w:tr>
      <w:tr w:rsidR="005861E2" w:rsidRPr="00E5475C" w:rsidTr="00DE2A70">
        <w:trPr>
          <w:trHeight w:val="576"/>
          <w:jc w:val="center"/>
        </w:trPr>
        <w:tc>
          <w:tcPr>
            <w:tcW w:w="1440" w:type="dxa"/>
            <w:tcBorders>
              <w:top w:val="nil"/>
              <w:left w:val="nil"/>
              <w:bottom w:val="nil"/>
            </w:tcBorders>
          </w:tcPr>
          <w:p w:rsidR="005861E2" w:rsidRPr="00E5475C" w:rsidRDefault="000060D7" w:rsidP="000060D7">
            <w:pPr>
              <w:jc w:val="left"/>
            </w:pPr>
            <w:r w:rsidRPr="00E5475C">
              <w:t xml:space="preserve">Table </w:t>
            </w:r>
            <w:r w:rsidR="00AA4744">
              <w:t>IA.</w:t>
            </w:r>
            <w:r w:rsidR="00E84F3B">
              <w:t>I</w:t>
            </w:r>
          </w:p>
        </w:tc>
        <w:tc>
          <w:tcPr>
            <w:tcW w:w="8640" w:type="dxa"/>
          </w:tcPr>
          <w:p w:rsidR="005861E2" w:rsidRPr="00E5475C" w:rsidRDefault="004E309F" w:rsidP="003548EF">
            <w:pPr>
              <w:widowControl w:val="0"/>
              <w:jc w:val="left"/>
            </w:pPr>
            <w:r>
              <w:t>Time-Series Range of</w:t>
            </w:r>
            <w:r w:rsidR="000060D7" w:rsidRPr="00E5475C">
              <w:t>Book Leverage, Market Leverage, and NetDebt Ratios of Publicly Held Industrial Firms</w:t>
            </w:r>
          </w:p>
        </w:tc>
      </w:tr>
      <w:tr w:rsidR="005861E2" w:rsidRPr="00E5475C" w:rsidTr="00DE2A70">
        <w:trPr>
          <w:trHeight w:val="576"/>
          <w:jc w:val="center"/>
        </w:trPr>
        <w:tc>
          <w:tcPr>
            <w:tcW w:w="1440" w:type="dxa"/>
            <w:tcBorders>
              <w:top w:val="nil"/>
              <w:left w:val="nil"/>
              <w:bottom w:val="nil"/>
            </w:tcBorders>
          </w:tcPr>
          <w:p w:rsidR="005861E2" w:rsidRPr="00E5475C" w:rsidRDefault="000060D7" w:rsidP="000060D7">
            <w:pPr>
              <w:jc w:val="left"/>
            </w:pPr>
            <w:r w:rsidRPr="00E5475C">
              <w:t xml:space="preserve">Table </w:t>
            </w:r>
            <w:r w:rsidR="00AA4744">
              <w:t>IA.</w:t>
            </w:r>
            <w:r w:rsidR="00E84F3B">
              <w:t>II</w:t>
            </w:r>
          </w:p>
        </w:tc>
        <w:tc>
          <w:tcPr>
            <w:tcW w:w="8640" w:type="dxa"/>
          </w:tcPr>
          <w:p w:rsidR="005861E2" w:rsidRPr="00E5475C" w:rsidRDefault="000060D7" w:rsidP="00987D80">
            <w:pPr>
              <w:widowControl w:val="0"/>
              <w:jc w:val="left"/>
            </w:pPr>
            <w:r w:rsidRPr="00E5475C">
              <w:t>Ti</w:t>
            </w:r>
            <w:r w:rsidR="004E309F">
              <w:t>me-Series Standard Deviation of</w:t>
            </w:r>
            <w:r w:rsidRPr="00E5475C">
              <w:t>Book Leverage, Market Leverage, and Net-Debt Ratios of Publicly Held Industrial Firms</w:t>
            </w:r>
          </w:p>
        </w:tc>
      </w:tr>
      <w:tr w:rsidR="005861E2" w:rsidRPr="00E5475C" w:rsidTr="00DE2A70">
        <w:trPr>
          <w:trHeight w:val="576"/>
          <w:jc w:val="center"/>
        </w:trPr>
        <w:tc>
          <w:tcPr>
            <w:tcW w:w="1440" w:type="dxa"/>
            <w:tcBorders>
              <w:top w:val="nil"/>
              <w:left w:val="nil"/>
              <w:bottom w:val="nil"/>
            </w:tcBorders>
          </w:tcPr>
          <w:p w:rsidR="005861E2" w:rsidRPr="00E5475C" w:rsidRDefault="00C73BEF" w:rsidP="00C73BEF">
            <w:pPr>
              <w:jc w:val="left"/>
            </w:pPr>
            <w:r w:rsidRPr="00E5475C">
              <w:t xml:space="preserve">Table </w:t>
            </w:r>
            <w:r w:rsidR="00AA4744">
              <w:t>IA.</w:t>
            </w:r>
            <w:r w:rsidR="00E84F3B">
              <w:t>III</w:t>
            </w:r>
          </w:p>
        </w:tc>
        <w:tc>
          <w:tcPr>
            <w:tcW w:w="8640" w:type="dxa"/>
          </w:tcPr>
          <w:p w:rsidR="0081755F" w:rsidRDefault="00C73BEF" w:rsidP="00C73BEF">
            <w:pPr>
              <w:jc w:val="left"/>
            </w:pPr>
            <w:r w:rsidRPr="00E5475C">
              <w:t>Median Time-Series Correlation Between Book Leverage and Market Leverage:</w:t>
            </w:r>
          </w:p>
          <w:p w:rsidR="005861E2" w:rsidRPr="00E5475C" w:rsidRDefault="00C73BEF" w:rsidP="00C73BEF">
            <w:pPr>
              <w:jc w:val="left"/>
            </w:pPr>
            <w:r w:rsidRPr="00E5475C">
              <w:t>Publicly Held Industrial Firms Partitioned by Range of Book Leverage</w:t>
            </w:r>
          </w:p>
        </w:tc>
      </w:tr>
      <w:tr w:rsidR="005861E2" w:rsidRPr="00E5475C" w:rsidTr="00DE2A70">
        <w:trPr>
          <w:trHeight w:val="576"/>
          <w:jc w:val="center"/>
        </w:trPr>
        <w:tc>
          <w:tcPr>
            <w:tcW w:w="1440" w:type="dxa"/>
            <w:tcBorders>
              <w:top w:val="nil"/>
              <w:left w:val="nil"/>
              <w:bottom w:val="nil"/>
            </w:tcBorders>
          </w:tcPr>
          <w:p w:rsidR="005861E2" w:rsidRPr="00E5475C" w:rsidRDefault="00C73BEF" w:rsidP="00C73BEF">
            <w:pPr>
              <w:widowControl w:val="0"/>
              <w:jc w:val="left"/>
            </w:pPr>
            <w:r w:rsidRPr="00E5475C">
              <w:t xml:space="preserve">Table </w:t>
            </w:r>
            <w:r w:rsidR="00AA4744">
              <w:t>IA.</w:t>
            </w:r>
            <w:r w:rsidR="00E84F3B">
              <w:t>IV</w:t>
            </w:r>
          </w:p>
        </w:tc>
        <w:tc>
          <w:tcPr>
            <w:tcW w:w="8640" w:type="dxa"/>
          </w:tcPr>
          <w:p w:rsidR="0081755F" w:rsidRDefault="00C73BEF" w:rsidP="003548EF">
            <w:pPr>
              <w:widowControl w:val="0"/>
              <w:jc w:val="left"/>
            </w:pPr>
            <w:r w:rsidRPr="00E5475C">
              <w:t>Intertemporal Variation in Book Leverage:</w:t>
            </w:r>
          </w:p>
          <w:p w:rsidR="005861E2" w:rsidRPr="00E5475C" w:rsidRDefault="00C73BEF" w:rsidP="003548EF">
            <w:pPr>
              <w:widowControl w:val="0"/>
              <w:jc w:val="left"/>
            </w:pPr>
            <w:r w:rsidRPr="00E5475C">
              <w:t xml:space="preserve">Magnitude and Speed of Departure from Original Leverage </w:t>
            </w:r>
          </w:p>
        </w:tc>
      </w:tr>
      <w:tr w:rsidR="005861E2" w:rsidRPr="00E5475C" w:rsidTr="00DE2A70">
        <w:trPr>
          <w:trHeight w:val="576"/>
          <w:jc w:val="center"/>
        </w:trPr>
        <w:tc>
          <w:tcPr>
            <w:tcW w:w="1440" w:type="dxa"/>
            <w:tcBorders>
              <w:top w:val="nil"/>
              <w:left w:val="nil"/>
              <w:bottom w:val="nil"/>
            </w:tcBorders>
          </w:tcPr>
          <w:p w:rsidR="005861E2" w:rsidRPr="00E5475C" w:rsidRDefault="00C73BEF" w:rsidP="00C73BEF">
            <w:pPr>
              <w:widowControl w:val="0"/>
              <w:jc w:val="left"/>
            </w:pPr>
            <w:r w:rsidRPr="00E5475C">
              <w:t xml:space="preserve">Table </w:t>
            </w:r>
            <w:r w:rsidR="00AA4744">
              <w:t>IA.</w:t>
            </w:r>
            <w:r w:rsidR="00E84F3B">
              <w:t>V</w:t>
            </w:r>
          </w:p>
        </w:tc>
        <w:tc>
          <w:tcPr>
            <w:tcW w:w="8640" w:type="dxa"/>
          </w:tcPr>
          <w:p w:rsidR="005861E2" w:rsidRPr="00E5475C" w:rsidRDefault="00C73BEF" w:rsidP="00C73BEF">
            <w:pPr>
              <w:widowControl w:val="0"/>
              <w:jc w:val="left"/>
            </w:pPr>
            <w:r w:rsidRPr="00E5475C">
              <w:t>Length of Stable Leverage Regimes</w:t>
            </w:r>
          </w:p>
        </w:tc>
      </w:tr>
      <w:tr w:rsidR="005861E2" w:rsidRPr="00E5475C" w:rsidTr="00DE2A70">
        <w:trPr>
          <w:trHeight w:val="576"/>
          <w:jc w:val="center"/>
        </w:trPr>
        <w:tc>
          <w:tcPr>
            <w:tcW w:w="1440" w:type="dxa"/>
            <w:tcBorders>
              <w:top w:val="nil"/>
              <w:left w:val="nil"/>
              <w:bottom w:val="nil"/>
            </w:tcBorders>
          </w:tcPr>
          <w:p w:rsidR="005861E2" w:rsidRPr="00E5475C" w:rsidRDefault="00C73BEF" w:rsidP="00C73BEF">
            <w:pPr>
              <w:widowControl w:val="0"/>
              <w:jc w:val="left"/>
            </w:pPr>
            <w:r w:rsidRPr="00E5475C">
              <w:t xml:space="preserve">Table </w:t>
            </w:r>
            <w:r w:rsidR="00AA4744">
              <w:t>IA.</w:t>
            </w:r>
            <w:r w:rsidR="00E84F3B">
              <w:t>VI</w:t>
            </w:r>
          </w:p>
        </w:tc>
        <w:tc>
          <w:tcPr>
            <w:tcW w:w="8640" w:type="dxa"/>
          </w:tcPr>
          <w:p w:rsidR="005861E2" w:rsidRPr="00E5475C" w:rsidRDefault="00C73BEF" w:rsidP="00C73BEF">
            <w:pPr>
              <w:widowControl w:val="0"/>
              <w:jc w:val="left"/>
            </w:pPr>
            <w:r w:rsidRPr="00E5475C">
              <w:t>Stable Leverage Regimes and the Level of Leverage</w:t>
            </w:r>
          </w:p>
        </w:tc>
      </w:tr>
      <w:tr w:rsidR="005861E2" w:rsidRPr="00E5475C" w:rsidTr="00DE2A70">
        <w:trPr>
          <w:trHeight w:val="576"/>
          <w:jc w:val="center"/>
        </w:trPr>
        <w:tc>
          <w:tcPr>
            <w:tcW w:w="1440" w:type="dxa"/>
            <w:tcBorders>
              <w:top w:val="nil"/>
              <w:left w:val="nil"/>
              <w:bottom w:val="nil"/>
            </w:tcBorders>
          </w:tcPr>
          <w:p w:rsidR="005861E2" w:rsidRPr="00E5475C" w:rsidRDefault="00E5475C" w:rsidP="00E5475C">
            <w:pPr>
              <w:widowControl w:val="0"/>
              <w:jc w:val="left"/>
            </w:pPr>
            <w:r w:rsidRPr="00E5475C">
              <w:t xml:space="preserve">Table </w:t>
            </w:r>
            <w:r w:rsidR="00AA4744">
              <w:t>IA.</w:t>
            </w:r>
            <w:r w:rsidR="00E84F3B">
              <w:t>VII</w:t>
            </w:r>
          </w:p>
        </w:tc>
        <w:tc>
          <w:tcPr>
            <w:tcW w:w="8640" w:type="dxa"/>
          </w:tcPr>
          <w:p w:rsidR="005861E2" w:rsidRPr="00E5475C" w:rsidRDefault="00E5475C" w:rsidP="00E5475C">
            <w:pPr>
              <w:widowControl w:val="0"/>
              <w:jc w:val="left"/>
            </w:pPr>
            <w:r w:rsidRPr="00E5475C">
              <w:t>Departures from and Reversions to Stable Leverage Regimes</w:t>
            </w:r>
          </w:p>
        </w:tc>
      </w:tr>
      <w:tr w:rsidR="005861E2" w:rsidRPr="00E5475C" w:rsidTr="00DE2A70">
        <w:trPr>
          <w:trHeight w:val="576"/>
          <w:jc w:val="center"/>
        </w:trPr>
        <w:tc>
          <w:tcPr>
            <w:tcW w:w="1440" w:type="dxa"/>
            <w:tcBorders>
              <w:top w:val="nil"/>
              <w:left w:val="nil"/>
              <w:bottom w:val="nil"/>
            </w:tcBorders>
          </w:tcPr>
          <w:p w:rsidR="005861E2" w:rsidRPr="00E5475C" w:rsidRDefault="00E5475C" w:rsidP="00E5475C">
            <w:pPr>
              <w:widowControl w:val="0"/>
              <w:jc w:val="left"/>
            </w:pPr>
            <w:r w:rsidRPr="00E5475C">
              <w:t xml:space="preserve">Table </w:t>
            </w:r>
            <w:r w:rsidR="00AA4744">
              <w:t>IA.</w:t>
            </w:r>
            <w:r w:rsidR="00E84F3B">
              <w:t>VIII</w:t>
            </w:r>
          </w:p>
        </w:tc>
        <w:tc>
          <w:tcPr>
            <w:tcW w:w="8640" w:type="dxa"/>
          </w:tcPr>
          <w:p w:rsidR="005861E2" w:rsidRPr="00E5475C" w:rsidRDefault="00E5475C" w:rsidP="00E5475C">
            <w:pPr>
              <w:widowControl w:val="0"/>
              <w:jc w:val="left"/>
            </w:pPr>
            <w:r w:rsidRPr="00E5475C">
              <w:t>Target Leverage Variation and Leverage Peaks</w:t>
            </w:r>
          </w:p>
        </w:tc>
      </w:tr>
      <w:tr w:rsidR="005861E2" w:rsidRPr="00E5475C" w:rsidTr="00DE2A70">
        <w:trPr>
          <w:trHeight w:val="576"/>
          <w:jc w:val="center"/>
        </w:trPr>
        <w:tc>
          <w:tcPr>
            <w:tcW w:w="1440" w:type="dxa"/>
            <w:tcBorders>
              <w:top w:val="nil"/>
              <w:left w:val="nil"/>
              <w:bottom w:val="nil"/>
            </w:tcBorders>
          </w:tcPr>
          <w:p w:rsidR="005861E2" w:rsidRPr="00E5475C" w:rsidRDefault="00E5475C" w:rsidP="00E5475C">
            <w:pPr>
              <w:widowControl w:val="0"/>
              <w:jc w:val="left"/>
            </w:pPr>
            <w:r w:rsidRPr="00E5475C">
              <w:t xml:space="preserve">Table </w:t>
            </w:r>
            <w:r w:rsidR="00AA4744">
              <w:t>IA.</w:t>
            </w:r>
            <w:r w:rsidR="00E84F3B">
              <w:t>IX</w:t>
            </w:r>
          </w:p>
        </w:tc>
        <w:tc>
          <w:tcPr>
            <w:tcW w:w="8640" w:type="dxa"/>
          </w:tcPr>
          <w:p w:rsidR="005861E2" w:rsidRPr="00E5475C" w:rsidRDefault="00E5475C" w:rsidP="00E5475C">
            <w:pPr>
              <w:widowControl w:val="0"/>
              <w:jc w:val="left"/>
            </w:pPr>
            <w:r w:rsidRPr="00E5475C">
              <w:t>Target Leverage Variation and Leverage Troughs</w:t>
            </w:r>
          </w:p>
        </w:tc>
      </w:tr>
      <w:tr w:rsidR="005861E2" w:rsidRPr="00E5475C" w:rsidTr="00DE2A70">
        <w:trPr>
          <w:trHeight w:val="576"/>
          <w:jc w:val="center"/>
        </w:trPr>
        <w:tc>
          <w:tcPr>
            <w:tcW w:w="1440" w:type="dxa"/>
            <w:tcBorders>
              <w:top w:val="nil"/>
              <w:left w:val="nil"/>
              <w:bottom w:val="nil"/>
            </w:tcBorders>
          </w:tcPr>
          <w:p w:rsidR="005861E2" w:rsidRPr="00E5475C" w:rsidRDefault="00E84F3B" w:rsidP="00E5475C">
            <w:pPr>
              <w:widowControl w:val="0"/>
              <w:jc w:val="left"/>
            </w:pPr>
            <w:r>
              <w:t xml:space="preserve">Table </w:t>
            </w:r>
            <w:r w:rsidR="00AA4744">
              <w:t>IA.</w:t>
            </w:r>
            <w:r>
              <w:t>X</w:t>
            </w:r>
          </w:p>
        </w:tc>
        <w:tc>
          <w:tcPr>
            <w:tcW w:w="8640" w:type="dxa"/>
          </w:tcPr>
          <w:p w:rsidR="005861E2" w:rsidRPr="00E5475C" w:rsidRDefault="00E5475C" w:rsidP="00E5475C">
            <w:pPr>
              <w:widowControl w:val="0"/>
              <w:jc w:val="left"/>
            </w:pPr>
            <w:r w:rsidRPr="00E5475C">
              <w:t>Time-</w:t>
            </w:r>
            <w:r w:rsidR="003548EF">
              <w:t>S</w:t>
            </w:r>
            <w:r w:rsidRPr="00E5475C">
              <w:t>eries Variation in Leverage of 24 Major Industrial Firms</w:t>
            </w:r>
          </w:p>
        </w:tc>
      </w:tr>
      <w:tr w:rsidR="005861E2" w:rsidRPr="00E5475C" w:rsidTr="00DE2A70">
        <w:trPr>
          <w:trHeight w:val="576"/>
          <w:jc w:val="center"/>
        </w:trPr>
        <w:tc>
          <w:tcPr>
            <w:tcW w:w="1440" w:type="dxa"/>
            <w:tcBorders>
              <w:top w:val="nil"/>
              <w:left w:val="nil"/>
              <w:bottom w:val="single" w:sz="4" w:space="0" w:color="000000" w:themeColor="text1"/>
            </w:tcBorders>
          </w:tcPr>
          <w:p w:rsidR="005861E2" w:rsidRPr="00E5475C" w:rsidRDefault="00E5475C" w:rsidP="00E5475C">
            <w:pPr>
              <w:widowControl w:val="0"/>
              <w:jc w:val="left"/>
            </w:pPr>
            <w:r w:rsidRPr="00E5475C">
              <w:t>Case Studies</w:t>
            </w:r>
          </w:p>
        </w:tc>
        <w:tc>
          <w:tcPr>
            <w:tcW w:w="8640" w:type="dxa"/>
          </w:tcPr>
          <w:p w:rsidR="005861E2" w:rsidRPr="00E5475C" w:rsidRDefault="00E5475C" w:rsidP="00E5475C">
            <w:pPr>
              <w:widowControl w:val="0"/>
              <w:jc w:val="left"/>
            </w:pPr>
            <w:r w:rsidRPr="00E5475C">
              <w:t>Leverage Decisions of 24 Major Industrial Firms</w:t>
            </w:r>
            <w:r>
              <w:t xml:space="preserve"> (with DJIA sample description)</w:t>
            </w:r>
          </w:p>
        </w:tc>
      </w:tr>
    </w:tbl>
    <w:p w:rsidR="005861E2" w:rsidRDefault="005861E2" w:rsidP="005861E2">
      <w:pPr>
        <w:widowControl w:val="0"/>
      </w:pPr>
    </w:p>
    <w:p w:rsidR="005861E2" w:rsidRDefault="004F658F" w:rsidP="005861E2">
      <w:pPr>
        <w:widowControl w:val="0"/>
      </w:pPr>
      <w:r>
        <w:t>*</w:t>
      </w:r>
      <w:r w:rsidR="00760C44">
        <w:t xml:space="preserve">Citation format: </w:t>
      </w:r>
      <w:r>
        <w:t>DeAngelo, Harry</w:t>
      </w:r>
      <w:r w:rsidR="00AA4744">
        <w:t>,</w:t>
      </w:r>
      <w:r>
        <w:t xml:space="preserve"> and Richard Roll, Internet Appendix </w:t>
      </w:r>
      <w:r w:rsidR="00AA4744">
        <w:t xml:space="preserve">for </w:t>
      </w:r>
      <w:r>
        <w:t xml:space="preserve">“How Stable Are Corporate Capital Structures?” </w:t>
      </w:r>
      <w:r w:rsidR="00ED6012" w:rsidRPr="00DE2A70">
        <w:rPr>
          <w:i/>
        </w:rPr>
        <w:t>Journal of Finance</w:t>
      </w:r>
      <w:r w:rsidR="00453C2A">
        <w:t>,</w:t>
      </w:r>
      <w:r w:rsidR="0035757D" w:rsidRPr="0035757D">
        <w:t>D</w:t>
      </w:r>
      <w:bookmarkStart w:id="0" w:name="_GoBack"/>
      <w:bookmarkEnd w:id="0"/>
      <w:r w:rsidR="0035757D" w:rsidRPr="0035757D">
        <w:t>OI: 10.1111/jofi.12063.</w:t>
      </w:r>
      <w:r w:rsidR="00AA4744">
        <w:t>Please note: Wiley-Blackwell is not responsible for the content or functionality o</w:t>
      </w:r>
      <w:r w:rsidR="00436B64">
        <w:t>f</w:t>
      </w:r>
      <w:r w:rsidR="00AA4744">
        <w:t xml:space="preserve"> any supporting information supplied by the authors.  Any queries (other than missing material) should be directed to the authors of the article.</w:t>
      </w:r>
    </w:p>
    <w:p w:rsidR="005861E2" w:rsidRDefault="005861E2" w:rsidP="005861E2">
      <w:pPr>
        <w:widowControl w:val="0"/>
      </w:pPr>
    </w:p>
    <w:p w:rsidR="005861E2" w:rsidRDefault="005861E2" w:rsidP="005861E2">
      <w:pPr>
        <w:widowControl w:val="0"/>
      </w:pPr>
    </w:p>
    <w:p w:rsidR="005861E2" w:rsidRDefault="005861E2" w:rsidP="005861E2">
      <w:pPr>
        <w:widowControl w:val="0"/>
      </w:pPr>
    </w:p>
    <w:p w:rsidR="005861E2" w:rsidRDefault="005861E2" w:rsidP="005861E2">
      <w:pPr>
        <w:widowControl w:val="0"/>
      </w:pPr>
    </w:p>
    <w:p w:rsidR="005861E2" w:rsidRDefault="005861E2" w:rsidP="005861E2">
      <w:pPr>
        <w:widowControl w:val="0"/>
      </w:pPr>
    </w:p>
    <w:p w:rsidR="005861E2" w:rsidRDefault="005861E2" w:rsidP="005861E2">
      <w:pPr>
        <w:widowControl w:val="0"/>
      </w:pPr>
    </w:p>
    <w:p w:rsidR="005861E2" w:rsidRDefault="005861E2" w:rsidP="005861E2">
      <w:pPr>
        <w:widowControl w:val="0"/>
      </w:pPr>
    </w:p>
    <w:p w:rsidR="005861E2" w:rsidRDefault="005861E2" w:rsidP="008E39BB">
      <w:pPr>
        <w:widowControl w:val="0"/>
        <w:jc w:val="center"/>
      </w:pPr>
      <w:r>
        <w:br w:type="column"/>
      </w:r>
    </w:p>
    <w:p w:rsidR="00E57A40" w:rsidRDefault="00E57A40" w:rsidP="00E57A40">
      <w:pPr>
        <w:widowControl w:val="0"/>
        <w:jc w:val="center"/>
      </w:pPr>
    </w:p>
    <w:p w:rsidR="00E57A40" w:rsidRDefault="00E57A40" w:rsidP="00E57A40">
      <w:pPr>
        <w:widowControl w:val="0"/>
        <w:jc w:val="center"/>
      </w:pPr>
    </w:p>
    <w:p w:rsidR="00E57A40" w:rsidRPr="00AF7799" w:rsidRDefault="00E57A40" w:rsidP="00E57A40">
      <w:pPr>
        <w:rPr>
          <w:rFonts w:eastAsia="Times New Roman" w:cs="Times New Roman"/>
          <w:sz w:val="20"/>
          <w:szCs w:val="20"/>
        </w:rPr>
      </w:pPr>
      <w:r>
        <w:rPr>
          <w:rFonts w:eastAsia="Times New Roman" w:cs="Times New Roman"/>
          <w:noProof/>
          <w:lang w:eastAsia="zh-CN"/>
        </w:rPr>
        <w:drawing>
          <wp:inline distT="0" distB="0" distL="0" distR="0">
            <wp:extent cx="6056630" cy="350266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21C7" w:rsidRDefault="007C21C7" w:rsidP="00DE2A70">
      <w:pPr>
        <w:ind w:left="720"/>
        <w:rPr>
          <w:rFonts w:eastAsia="Times New Roman" w:cs="Times New Roman"/>
          <w:sz w:val="20"/>
          <w:szCs w:val="20"/>
        </w:rPr>
      </w:pPr>
      <w:r>
        <w:rPr>
          <w:rFonts w:eastAsia="Times New Roman" w:cs="Times New Roman"/>
          <w:b/>
          <w:sz w:val="20"/>
          <w:szCs w:val="20"/>
        </w:rPr>
        <w:t xml:space="preserve">Figure IA.1. </w:t>
      </w:r>
      <w:r w:rsidRPr="00AF7799">
        <w:rPr>
          <w:rFonts w:eastAsia="Times New Roman" w:cs="Times New Roman"/>
          <w:b/>
          <w:sz w:val="20"/>
          <w:szCs w:val="20"/>
        </w:rPr>
        <w:t>Stationary target leverage ratio models:</w:t>
      </w:r>
      <w:r>
        <w:rPr>
          <w:rFonts w:eastAsia="Times New Roman" w:cs="Times New Roman"/>
          <w:b/>
          <w:sz w:val="20"/>
          <w:szCs w:val="20"/>
        </w:rPr>
        <w:t xml:space="preserve"> M</w:t>
      </w:r>
      <w:r w:rsidRPr="00AF7799">
        <w:rPr>
          <w:rFonts w:eastAsia="Times New Roman" w:cs="Times New Roman"/>
          <w:b/>
          <w:sz w:val="20"/>
          <w:szCs w:val="20"/>
        </w:rPr>
        <w:t>odel-generated versus actual instability of the leverage cross section</w:t>
      </w:r>
      <w:r>
        <w:rPr>
          <w:rFonts w:eastAsia="Times New Roman" w:cs="Times New Roman"/>
          <w:b/>
          <w:sz w:val="20"/>
          <w:szCs w:val="20"/>
        </w:rPr>
        <w:t xml:space="preserve">.  </w:t>
      </w:r>
      <w:r>
        <w:rPr>
          <w:rFonts w:eastAsia="Times New Roman" w:cs="Times New Roman"/>
          <w:sz w:val="20"/>
          <w:szCs w:val="20"/>
        </w:rPr>
        <w:t>The thick</w:t>
      </w:r>
      <w:r w:rsidRPr="00AF7799">
        <w:rPr>
          <w:rFonts w:eastAsia="Times New Roman" w:cs="Times New Roman"/>
          <w:sz w:val="20"/>
          <w:szCs w:val="20"/>
        </w:rPr>
        <w:t xml:space="preserve"> solid black plot is of the </w:t>
      </w:r>
      <w:r w:rsidRPr="00C61908">
        <w:rPr>
          <w:rFonts w:eastAsia="Times New Roman" w:cs="Times New Roman"/>
          <w:i/>
          <w:sz w:val="20"/>
          <w:szCs w:val="20"/>
        </w:rPr>
        <w:t>R</w:t>
      </w:r>
      <w:r w:rsidRPr="00C61908">
        <w:rPr>
          <w:rFonts w:eastAsia="Times New Roman" w:cs="Times New Roman"/>
          <w:i/>
          <w:sz w:val="20"/>
          <w:szCs w:val="20"/>
          <w:vertAlign w:val="superscript"/>
        </w:rPr>
        <w:t>2</w:t>
      </w:r>
      <w:r w:rsidRPr="00AF7799">
        <w:rPr>
          <w:rFonts w:eastAsia="Times New Roman" w:cs="Times New Roman"/>
          <w:sz w:val="20"/>
          <w:szCs w:val="20"/>
        </w:rPr>
        <w:t xml:space="preserve"> values for the relations between pairs of cross sections </w:t>
      </w:r>
      <w:r>
        <w:rPr>
          <w:rFonts w:eastAsia="Times New Roman" w:cs="Times New Roman"/>
          <w:sz w:val="20"/>
          <w:szCs w:val="20"/>
        </w:rPr>
        <w:t xml:space="preserve">(for the full sample) </w:t>
      </w:r>
      <w:r w:rsidRPr="00AF7799">
        <w:rPr>
          <w:rFonts w:eastAsia="Times New Roman" w:cs="Times New Roman"/>
          <w:sz w:val="20"/>
          <w:szCs w:val="20"/>
        </w:rPr>
        <w:t>in the real data, per Figure 3</w:t>
      </w:r>
      <w:r>
        <w:rPr>
          <w:rFonts w:eastAsia="Times New Roman" w:cs="Times New Roman"/>
          <w:sz w:val="20"/>
          <w:szCs w:val="20"/>
        </w:rPr>
        <w:t xml:space="preserve"> in the published article</w:t>
      </w:r>
      <w:r w:rsidRPr="00AF7799">
        <w:rPr>
          <w:rFonts w:eastAsia="Times New Roman" w:cs="Times New Roman"/>
          <w:sz w:val="20"/>
          <w:szCs w:val="20"/>
        </w:rPr>
        <w:t xml:space="preserve">.  The other plots are for the analogous </w:t>
      </w:r>
      <w:r w:rsidRPr="00C61908">
        <w:rPr>
          <w:rFonts w:eastAsia="Times New Roman" w:cs="Times New Roman"/>
          <w:i/>
          <w:sz w:val="20"/>
          <w:szCs w:val="20"/>
        </w:rPr>
        <w:t>R</w:t>
      </w:r>
      <w:r w:rsidRPr="00C61908">
        <w:rPr>
          <w:rFonts w:eastAsia="Times New Roman" w:cs="Times New Roman"/>
          <w:i/>
          <w:sz w:val="20"/>
          <w:szCs w:val="20"/>
          <w:vertAlign w:val="superscript"/>
        </w:rPr>
        <w:t>2</w:t>
      </w:r>
      <w:r w:rsidRPr="00AF7799">
        <w:rPr>
          <w:rFonts w:eastAsia="Times New Roman" w:cs="Times New Roman"/>
          <w:sz w:val="20"/>
          <w:szCs w:val="20"/>
        </w:rPr>
        <w:t xml:space="preserve">s for the stationary target </w:t>
      </w:r>
      <w:r>
        <w:rPr>
          <w:rFonts w:eastAsia="Times New Roman" w:cs="Times New Roman"/>
          <w:sz w:val="20"/>
          <w:szCs w:val="20"/>
        </w:rPr>
        <w:t>ratio models in Panel A of Table VI</w:t>
      </w:r>
      <w:r w:rsidRPr="00AF7799">
        <w:rPr>
          <w:rFonts w:eastAsia="Times New Roman" w:cs="Times New Roman"/>
          <w:sz w:val="20"/>
          <w:szCs w:val="20"/>
        </w:rPr>
        <w:t>.  The speed of</w:t>
      </w:r>
      <w:r>
        <w:rPr>
          <w:rFonts w:eastAsia="Times New Roman" w:cs="Times New Roman"/>
          <w:sz w:val="20"/>
          <w:szCs w:val="20"/>
        </w:rPr>
        <w:t xml:space="preserve"> adjustment (SOA) to the </w:t>
      </w:r>
      <w:r w:rsidRPr="00AF7799">
        <w:rPr>
          <w:rFonts w:eastAsia="Times New Roman" w:cs="Times New Roman"/>
          <w:sz w:val="20"/>
          <w:szCs w:val="20"/>
        </w:rPr>
        <w:t xml:space="preserve">target leverage ratio is denoted </w:t>
      </w:r>
      <m:oMath>
        <m:r>
          <w:rPr>
            <w:rFonts w:ascii="Cambria Math" w:eastAsiaTheme="minorEastAsia" w:hAnsi="Cambria Math" w:cs="Times New Roman"/>
          </w:rPr>
          <m:t>λ.</m:t>
        </m:r>
      </m:oMath>
    </w:p>
    <w:p w:rsidR="007C21C7" w:rsidRPr="00AF7799" w:rsidRDefault="007C21C7" w:rsidP="007C21C7">
      <w:pPr>
        <w:rPr>
          <w:rFonts w:eastAsia="Times New Roman" w:cs="Times New Roman"/>
          <w:sz w:val="20"/>
          <w:szCs w:val="20"/>
        </w:rPr>
      </w:pPr>
    </w:p>
    <w:p w:rsidR="00E57A40" w:rsidRPr="00AF7799" w:rsidRDefault="00E57A40" w:rsidP="00E57A40">
      <w:pPr>
        <w:rPr>
          <w:rFonts w:eastAsia="Times New Roman" w:cs="Times New Roman"/>
          <w:sz w:val="20"/>
          <w:szCs w:val="20"/>
        </w:rPr>
      </w:pPr>
    </w:p>
    <w:p w:rsidR="00E57A40" w:rsidRPr="00AF7799" w:rsidRDefault="00E57A40" w:rsidP="00E8624F">
      <w:pPr>
        <w:jc w:val="center"/>
        <w:rPr>
          <w:rFonts w:eastAsia="Times New Roman" w:cs="Times New Roman"/>
          <w:sz w:val="20"/>
          <w:szCs w:val="20"/>
        </w:rPr>
      </w:pPr>
      <w:r w:rsidRPr="00AF7799">
        <w:rPr>
          <w:rFonts w:eastAsia="Times New Roman" w:cs="Times New Roman"/>
          <w:b/>
          <w:sz w:val="20"/>
          <w:szCs w:val="20"/>
        </w:rPr>
        <w:br w:type="column"/>
      </w:r>
    </w:p>
    <w:p w:rsidR="00E57A40" w:rsidRDefault="00E57A40" w:rsidP="00E57A40">
      <w:pPr>
        <w:jc w:val="center"/>
        <w:rPr>
          <w:rFonts w:eastAsia="Times New Roman" w:cs="Times New Roman"/>
          <w:b/>
          <w:sz w:val="20"/>
          <w:szCs w:val="20"/>
        </w:rPr>
      </w:pPr>
    </w:p>
    <w:p w:rsidR="00E57A40" w:rsidRDefault="00E57A40" w:rsidP="00E57A40">
      <w:pPr>
        <w:jc w:val="center"/>
        <w:rPr>
          <w:rFonts w:eastAsia="Times New Roman" w:cs="Times New Roman"/>
          <w:b/>
          <w:sz w:val="20"/>
          <w:szCs w:val="20"/>
        </w:rPr>
      </w:pPr>
    </w:p>
    <w:p w:rsidR="00E57A40" w:rsidRDefault="00E57A40" w:rsidP="00E57A40">
      <w:pPr>
        <w:rPr>
          <w:rFonts w:eastAsia="Times New Roman" w:cs="Times New Roman"/>
          <w:sz w:val="20"/>
          <w:szCs w:val="20"/>
        </w:rPr>
      </w:pPr>
      <w:r>
        <w:rPr>
          <w:noProof/>
          <w:lang w:eastAsia="zh-CN"/>
        </w:rPr>
        <w:drawing>
          <wp:inline distT="0" distB="0" distL="0" distR="0">
            <wp:extent cx="6172200" cy="3621193"/>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21C7" w:rsidRPr="00AF7799" w:rsidRDefault="007C21C7" w:rsidP="00DE2A70">
      <w:pPr>
        <w:ind w:left="720"/>
        <w:rPr>
          <w:rFonts w:eastAsia="Times New Roman" w:cs="Times New Roman"/>
          <w:sz w:val="20"/>
          <w:szCs w:val="20"/>
        </w:rPr>
      </w:pPr>
      <w:r>
        <w:rPr>
          <w:rFonts w:eastAsia="Times New Roman" w:cs="Times New Roman"/>
          <w:b/>
          <w:sz w:val="20"/>
          <w:szCs w:val="20"/>
        </w:rPr>
        <w:t xml:space="preserve">Figure IA.2. </w:t>
      </w:r>
      <w:r w:rsidRPr="00AF7799">
        <w:rPr>
          <w:rFonts w:eastAsia="Times New Roman" w:cs="Times New Roman"/>
          <w:b/>
          <w:sz w:val="20"/>
          <w:szCs w:val="20"/>
        </w:rPr>
        <w:t>Time-varying target leverage ratio models:</w:t>
      </w:r>
      <w:r>
        <w:rPr>
          <w:rFonts w:eastAsia="Times New Roman" w:cs="Times New Roman"/>
          <w:b/>
          <w:sz w:val="20"/>
          <w:szCs w:val="20"/>
        </w:rPr>
        <w:t xml:space="preserve"> M</w:t>
      </w:r>
      <w:r w:rsidRPr="00AF7799">
        <w:rPr>
          <w:rFonts w:eastAsia="Times New Roman" w:cs="Times New Roman"/>
          <w:b/>
          <w:sz w:val="20"/>
          <w:szCs w:val="20"/>
        </w:rPr>
        <w:t>odel-generated versus actual instability of the leverage cross section</w:t>
      </w:r>
      <w:r>
        <w:rPr>
          <w:rFonts w:eastAsia="Times New Roman" w:cs="Times New Roman"/>
          <w:b/>
          <w:sz w:val="20"/>
          <w:szCs w:val="20"/>
        </w:rPr>
        <w:t xml:space="preserve">.  </w:t>
      </w:r>
      <w:r w:rsidRPr="00AF7799">
        <w:rPr>
          <w:rFonts w:eastAsia="Times New Roman" w:cs="Times New Roman"/>
          <w:sz w:val="20"/>
          <w:szCs w:val="20"/>
        </w:rPr>
        <w:t xml:space="preserve">The </w:t>
      </w:r>
      <w:r>
        <w:rPr>
          <w:rFonts w:eastAsia="Times New Roman" w:cs="Times New Roman"/>
          <w:sz w:val="20"/>
          <w:szCs w:val="20"/>
        </w:rPr>
        <w:t xml:space="preserve">thick </w:t>
      </w:r>
      <w:r w:rsidRPr="00AF7799">
        <w:rPr>
          <w:rFonts w:eastAsia="Times New Roman" w:cs="Times New Roman"/>
          <w:sz w:val="20"/>
          <w:szCs w:val="20"/>
        </w:rPr>
        <w:t xml:space="preserve">solid black plot is of the </w:t>
      </w:r>
      <w:r w:rsidRPr="00C61908">
        <w:rPr>
          <w:rFonts w:eastAsia="Times New Roman" w:cs="Times New Roman"/>
          <w:i/>
          <w:sz w:val="20"/>
          <w:szCs w:val="20"/>
        </w:rPr>
        <w:t>R</w:t>
      </w:r>
      <w:r w:rsidRPr="00C61908">
        <w:rPr>
          <w:rFonts w:eastAsia="Times New Roman" w:cs="Times New Roman"/>
          <w:i/>
          <w:sz w:val="20"/>
          <w:szCs w:val="20"/>
          <w:vertAlign w:val="superscript"/>
        </w:rPr>
        <w:t>2</w:t>
      </w:r>
      <w:r w:rsidRPr="00AF7799">
        <w:rPr>
          <w:rFonts w:eastAsia="Times New Roman" w:cs="Times New Roman"/>
          <w:sz w:val="20"/>
          <w:szCs w:val="20"/>
        </w:rPr>
        <w:t xml:space="preserve"> values for the relations between pairs of cross sections </w:t>
      </w:r>
      <w:r>
        <w:rPr>
          <w:rFonts w:eastAsia="Times New Roman" w:cs="Times New Roman"/>
          <w:sz w:val="20"/>
          <w:szCs w:val="20"/>
        </w:rPr>
        <w:t xml:space="preserve">(for the full sample) </w:t>
      </w:r>
      <w:r w:rsidRPr="00AF7799">
        <w:rPr>
          <w:rFonts w:eastAsia="Times New Roman" w:cs="Times New Roman"/>
          <w:sz w:val="20"/>
          <w:szCs w:val="20"/>
        </w:rPr>
        <w:t>in the real data, per Figure 3</w:t>
      </w:r>
      <w:r>
        <w:rPr>
          <w:rFonts w:eastAsia="Times New Roman" w:cs="Times New Roman"/>
          <w:sz w:val="20"/>
          <w:szCs w:val="20"/>
        </w:rPr>
        <w:t xml:space="preserve"> in the published article</w:t>
      </w:r>
      <w:r w:rsidRPr="00AF7799">
        <w:rPr>
          <w:rFonts w:eastAsia="Times New Roman" w:cs="Times New Roman"/>
          <w:sz w:val="20"/>
          <w:szCs w:val="20"/>
        </w:rPr>
        <w:t xml:space="preserve">.  The other plots are for the analogous </w:t>
      </w:r>
      <w:r w:rsidRPr="00C61908">
        <w:rPr>
          <w:rFonts w:eastAsia="Times New Roman" w:cs="Times New Roman"/>
          <w:i/>
          <w:sz w:val="20"/>
          <w:szCs w:val="20"/>
        </w:rPr>
        <w:t>R</w:t>
      </w:r>
      <w:r w:rsidRPr="00C61908">
        <w:rPr>
          <w:rFonts w:eastAsia="Times New Roman" w:cs="Times New Roman"/>
          <w:i/>
          <w:sz w:val="20"/>
          <w:szCs w:val="20"/>
          <w:vertAlign w:val="superscript"/>
        </w:rPr>
        <w:t>2</w:t>
      </w:r>
      <w:r w:rsidRPr="00AF7799">
        <w:rPr>
          <w:rFonts w:eastAsia="Times New Roman" w:cs="Times New Roman"/>
          <w:sz w:val="20"/>
          <w:szCs w:val="20"/>
        </w:rPr>
        <w:t xml:space="preserve">s for the </w:t>
      </w:r>
      <w:r>
        <w:rPr>
          <w:rFonts w:eastAsia="Times New Roman" w:cs="Times New Roman"/>
          <w:sz w:val="20"/>
          <w:szCs w:val="20"/>
        </w:rPr>
        <w:t xml:space="preserve">two </w:t>
      </w:r>
      <w:r w:rsidRPr="00AF7799">
        <w:rPr>
          <w:rFonts w:eastAsia="Times New Roman" w:cs="Times New Roman"/>
          <w:sz w:val="20"/>
          <w:szCs w:val="20"/>
        </w:rPr>
        <w:t>time-va</w:t>
      </w:r>
      <w:r>
        <w:rPr>
          <w:rFonts w:eastAsia="Times New Roman" w:cs="Times New Roman"/>
          <w:sz w:val="20"/>
          <w:szCs w:val="20"/>
        </w:rPr>
        <w:t>rying target ratio models in Panel D of Table VI</w:t>
      </w:r>
      <w:r w:rsidRPr="00AF7799">
        <w:rPr>
          <w:rFonts w:eastAsia="Times New Roman" w:cs="Times New Roman"/>
          <w:sz w:val="20"/>
          <w:szCs w:val="20"/>
        </w:rPr>
        <w:t>.  Target means (TMs) are 0.2</w:t>
      </w:r>
      <w:r>
        <w:rPr>
          <w:rFonts w:eastAsia="Times New Roman" w:cs="Times New Roman"/>
          <w:sz w:val="20"/>
          <w:szCs w:val="20"/>
        </w:rPr>
        <w:t>00</w:t>
      </w:r>
      <w:r w:rsidRPr="00AF7799">
        <w:rPr>
          <w:rFonts w:eastAsia="Times New Roman" w:cs="Times New Roman"/>
          <w:sz w:val="20"/>
          <w:szCs w:val="20"/>
        </w:rPr>
        <w:t>, 0.3</w:t>
      </w:r>
      <w:r>
        <w:rPr>
          <w:rFonts w:eastAsia="Times New Roman" w:cs="Times New Roman"/>
          <w:sz w:val="20"/>
          <w:szCs w:val="20"/>
        </w:rPr>
        <w:t>00</w:t>
      </w:r>
      <w:r w:rsidRPr="00AF7799">
        <w:rPr>
          <w:rFonts w:eastAsia="Times New Roman" w:cs="Times New Roman"/>
          <w:sz w:val="20"/>
          <w:szCs w:val="20"/>
        </w:rPr>
        <w:t xml:space="preserve">, and </w:t>
      </w:r>
      <w:r>
        <w:rPr>
          <w:rFonts w:eastAsia="Times New Roman" w:cs="Times New Roman"/>
          <w:sz w:val="20"/>
          <w:szCs w:val="20"/>
        </w:rPr>
        <w:t xml:space="preserve">0.400 in the first model and </w:t>
      </w:r>
      <w:r w:rsidRPr="00AF7799">
        <w:rPr>
          <w:rFonts w:eastAsia="Times New Roman" w:cs="Times New Roman"/>
          <w:sz w:val="20"/>
          <w:szCs w:val="20"/>
        </w:rPr>
        <w:t>0.1</w:t>
      </w:r>
      <w:r>
        <w:rPr>
          <w:rFonts w:eastAsia="Times New Roman" w:cs="Times New Roman"/>
          <w:sz w:val="20"/>
          <w:szCs w:val="20"/>
        </w:rPr>
        <w:t>00</w:t>
      </w:r>
      <w:r w:rsidRPr="00AF7799">
        <w:rPr>
          <w:rFonts w:eastAsia="Times New Roman" w:cs="Times New Roman"/>
          <w:sz w:val="20"/>
          <w:szCs w:val="20"/>
        </w:rPr>
        <w:t>, 0.2</w:t>
      </w:r>
      <w:r>
        <w:rPr>
          <w:rFonts w:eastAsia="Times New Roman" w:cs="Times New Roman"/>
          <w:sz w:val="20"/>
          <w:szCs w:val="20"/>
        </w:rPr>
        <w:t>00</w:t>
      </w:r>
      <w:r w:rsidRPr="00AF7799">
        <w:rPr>
          <w:rFonts w:eastAsia="Times New Roman" w:cs="Times New Roman"/>
          <w:sz w:val="20"/>
          <w:szCs w:val="20"/>
        </w:rPr>
        <w:t>, 0.3</w:t>
      </w:r>
      <w:r>
        <w:rPr>
          <w:rFonts w:eastAsia="Times New Roman" w:cs="Times New Roman"/>
          <w:sz w:val="20"/>
          <w:szCs w:val="20"/>
        </w:rPr>
        <w:t>00</w:t>
      </w:r>
      <w:r w:rsidRPr="00AF7799">
        <w:rPr>
          <w:rFonts w:eastAsia="Times New Roman" w:cs="Times New Roman"/>
          <w:sz w:val="20"/>
          <w:szCs w:val="20"/>
        </w:rPr>
        <w:t>, and 0.4</w:t>
      </w:r>
      <w:r>
        <w:rPr>
          <w:rFonts w:eastAsia="Times New Roman" w:cs="Times New Roman"/>
          <w:sz w:val="20"/>
          <w:szCs w:val="20"/>
        </w:rPr>
        <w:t>00</w:t>
      </w:r>
      <w:r w:rsidRPr="00AF7799">
        <w:rPr>
          <w:rFonts w:eastAsia="Times New Roman" w:cs="Times New Roman"/>
          <w:sz w:val="20"/>
          <w:szCs w:val="20"/>
        </w:rPr>
        <w:t xml:space="preserve"> in the second model.</w:t>
      </w:r>
    </w:p>
    <w:p w:rsidR="007C21C7" w:rsidRPr="00AF7799" w:rsidRDefault="007C21C7" w:rsidP="00DE2A70">
      <w:pPr>
        <w:ind w:left="720"/>
        <w:rPr>
          <w:rFonts w:eastAsia="Times New Roman" w:cs="Times New Roman"/>
          <w:sz w:val="20"/>
          <w:szCs w:val="20"/>
        </w:rPr>
      </w:pPr>
    </w:p>
    <w:p w:rsidR="00E57A40" w:rsidRPr="00AF7799" w:rsidRDefault="00E57A40" w:rsidP="00E57A40">
      <w:pPr>
        <w:rPr>
          <w:rFonts w:eastAsia="Times New Roman" w:cs="Times New Roman"/>
          <w:sz w:val="20"/>
          <w:szCs w:val="20"/>
        </w:rPr>
      </w:pPr>
    </w:p>
    <w:p w:rsidR="00E57A40" w:rsidRDefault="00E57A40" w:rsidP="00E57A40">
      <w:pPr>
        <w:rPr>
          <w:rFonts w:eastAsia="Times New Roman" w:cs="Times New Roman"/>
          <w:sz w:val="20"/>
          <w:szCs w:val="20"/>
        </w:rPr>
      </w:pPr>
    </w:p>
    <w:p w:rsidR="00E57A40" w:rsidRDefault="00E57A40" w:rsidP="00E57A40">
      <w:pPr>
        <w:rPr>
          <w:rFonts w:eastAsia="Times New Roman" w:cs="Times New Roman"/>
          <w:sz w:val="20"/>
          <w:szCs w:val="20"/>
        </w:rPr>
      </w:pPr>
    </w:p>
    <w:p w:rsidR="00991540" w:rsidRDefault="00E57A40" w:rsidP="00991540">
      <w:pPr>
        <w:jc w:val="center"/>
        <w:rPr>
          <w:rFonts w:eastAsia="Times New Roman" w:cs="Times New Roman"/>
          <w:sz w:val="20"/>
          <w:szCs w:val="20"/>
        </w:rPr>
      </w:pPr>
      <w:r>
        <w:rPr>
          <w:rFonts w:eastAsia="Times New Roman" w:cs="Times New Roman"/>
          <w:sz w:val="20"/>
          <w:szCs w:val="20"/>
        </w:rPr>
        <w:br w:type="column"/>
      </w:r>
    </w:p>
    <w:p w:rsidR="00991540" w:rsidRDefault="00991540" w:rsidP="00991540">
      <w:pPr>
        <w:jc w:val="center"/>
        <w:rPr>
          <w:rFonts w:eastAsia="Times New Roman" w:cs="Times New Roman"/>
          <w:sz w:val="20"/>
          <w:szCs w:val="20"/>
        </w:rPr>
      </w:pPr>
    </w:p>
    <w:p w:rsidR="00991540" w:rsidRDefault="00991540" w:rsidP="00991540">
      <w:pPr>
        <w:jc w:val="center"/>
        <w:rPr>
          <w:rFonts w:eastAsia="Times New Roman" w:cs="Times New Roman"/>
          <w:sz w:val="20"/>
          <w:szCs w:val="20"/>
        </w:rPr>
      </w:pPr>
      <w:r>
        <w:rPr>
          <w:noProof/>
          <w:lang w:eastAsia="zh-CN"/>
        </w:rPr>
        <w:drawing>
          <wp:inline distT="0" distB="0" distL="0" distR="0">
            <wp:extent cx="6089227" cy="348826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21C7" w:rsidRDefault="007C21C7" w:rsidP="00DE2A70">
      <w:pPr>
        <w:ind w:left="720"/>
        <w:rPr>
          <w:rFonts w:eastAsia="Times New Roman" w:cs="Times New Roman"/>
          <w:sz w:val="20"/>
          <w:szCs w:val="20"/>
        </w:rPr>
      </w:pPr>
      <w:r>
        <w:rPr>
          <w:rFonts w:eastAsia="Times New Roman" w:cs="Times New Roman"/>
          <w:b/>
          <w:sz w:val="20"/>
          <w:szCs w:val="20"/>
        </w:rPr>
        <w:t>Figure IA.3. Random leverage variation with no targeting behavior by firms</w:t>
      </w:r>
      <w:r w:rsidRPr="00AF7799">
        <w:rPr>
          <w:rFonts w:eastAsia="Times New Roman" w:cs="Times New Roman"/>
          <w:b/>
          <w:sz w:val="20"/>
          <w:szCs w:val="20"/>
        </w:rPr>
        <w:t>:</w:t>
      </w:r>
      <w:r>
        <w:rPr>
          <w:rFonts w:eastAsia="Times New Roman" w:cs="Times New Roman"/>
          <w:b/>
          <w:sz w:val="20"/>
          <w:szCs w:val="20"/>
        </w:rPr>
        <w:t xml:space="preserve"> M</w:t>
      </w:r>
      <w:r w:rsidRPr="00AF7799">
        <w:rPr>
          <w:rFonts w:eastAsia="Times New Roman" w:cs="Times New Roman"/>
          <w:b/>
          <w:sz w:val="20"/>
          <w:szCs w:val="20"/>
        </w:rPr>
        <w:t>odel-generated versus actual instability of the leverage cross section</w:t>
      </w:r>
      <w:r>
        <w:rPr>
          <w:rFonts w:eastAsia="Times New Roman" w:cs="Times New Roman"/>
          <w:b/>
          <w:sz w:val="20"/>
          <w:szCs w:val="20"/>
        </w:rPr>
        <w:t xml:space="preserve">.  </w:t>
      </w:r>
      <w:r w:rsidRPr="00D9392B">
        <w:rPr>
          <w:rFonts w:eastAsia="Times New Roman" w:cs="Times New Roman"/>
          <w:sz w:val="20"/>
          <w:szCs w:val="20"/>
        </w:rPr>
        <w:t xml:space="preserve">The thick solid black plot is of the </w:t>
      </w:r>
      <w:r w:rsidRPr="00C61908">
        <w:rPr>
          <w:rFonts w:eastAsia="Times New Roman" w:cs="Times New Roman"/>
          <w:i/>
          <w:sz w:val="20"/>
          <w:szCs w:val="20"/>
        </w:rPr>
        <w:t>R</w:t>
      </w:r>
      <w:r w:rsidRPr="00C61908">
        <w:rPr>
          <w:rFonts w:eastAsia="Times New Roman" w:cs="Times New Roman"/>
          <w:i/>
          <w:sz w:val="20"/>
          <w:szCs w:val="20"/>
          <w:vertAlign w:val="superscript"/>
        </w:rPr>
        <w:t>2</w:t>
      </w:r>
      <w:r w:rsidRPr="00D9392B">
        <w:rPr>
          <w:rFonts w:eastAsia="Times New Roman" w:cs="Times New Roman"/>
          <w:sz w:val="20"/>
          <w:szCs w:val="20"/>
        </w:rPr>
        <w:t xml:space="preserve"> values for the relations between pairs of cross sections </w:t>
      </w:r>
      <w:r>
        <w:rPr>
          <w:rFonts w:eastAsia="Times New Roman" w:cs="Times New Roman"/>
          <w:sz w:val="20"/>
          <w:szCs w:val="20"/>
        </w:rPr>
        <w:t xml:space="preserve">(for the full sample) </w:t>
      </w:r>
      <w:r w:rsidRPr="00D9392B">
        <w:rPr>
          <w:rFonts w:eastAsia="Times New Roman" w:cs="Times New Roman"/>
          <w:sz w:val="20"/>
          <w:szCs w:val="20"/>
        </w:rPr>
        <w:t>in the real data, per Figure 3</w:t>
      </w:r>
      <w:r>
        <w:rPr>
          <w:rFonts w:eastAsia="Times New Roman" w:cs="Times New Roman"/>
          <w:sz w:val="20"/>
          <w:szCs w:val="20"/>
        </w:rPr>
        <w:t xml:space="preserve"> in the published article</w:t>
      </w:r>
      <w:r w:rsidRPr="00D9392B">
        <w:rPr>
          <w:rFonts w:eastAsia="Times New Roman" w:cs="Times New Roman"/>
          <w:sz w:val="20"/>
          <w:szCs w:val="20"/>
        </w:rPr>
        <w:t xml:space="preserve">.  The </w:t>
      </w:r>
      <w:r w:rsidRPr="007D550E">
        <w:rPr>
          <w:rFonts w:eastAsiaTheme="minorEastAsia"/>
          <w:i/>
          <w:sz w:val="20"/>
          <w:szCs w:val="20"/>
        </w:rPr>
        <w:t>λ</w:t>
      </w:r>
      <w:r w:rsidRPr="00D9392B">
        <w:rPr>
          <w:rFonts w:eastAsiaTheme="minorEastAsia"/>
          <w:sz w:val="20"/>
          <w:szCs w:val="20"/>
        </w:rPr>
        <w:t xml:space="preserve"> = 0.00 plot is for a model with </w:t>
      </w:r>
      <w:r w:rsidRPr="00D9392B">
        <w:rPr>
          <w:rFonts w:eastAsia="Times New Roman" w:cs="Times New Roman"/>
          <w:sz w:val="20"/>
          <w:szCs w:val="20"/>
        </w:rPr>
        <w:t xml:space="preserve">random variation in leverage and no targeting </w:t>
      </w:r>
      <w:r>
        <w:rPr>
          <w:rFonts w:eastAsia="Times New Roman" w:cs="Times New Roman"/>
          <w:sz w:val="20"/>
          <w:szCs w:val="20"/>
        </w:rPr>
        <w:t>behavior by firms.</w:t>
      </w:r>
      <w:r w:rsidRPr="00D9392B">
        <w:rPr>
          <w:rFonts w:eastAsiaTheme="minorEastAsia"/>
          <w:sz w:val="20"/>
          <w:szCs w:val="20"/>
        </w:rPr>
        <w:t xml:space="preserve">  The reflecting barriers plot is for a model in which leverage follows a Markov process </w:t>
      </w:r>
      <w:r>
        <w:rPr>
          <w:rFonts w:eastAsiaTheme="minorEastAsia"/>
          <w:sz w:val="20"/>
          <w:szCs w:val="20"/>
        </w:rPr>
        <w:t xml:space="preserve">with no leverage target and no </w:t>
      </w:r>
      <w:r w:rsidRPr="00D9392B">
        <w:rPr>
          <w:rFonts w:eastAsiaTheme="minorEastAsia"/>
          <w:sz w:val="20"/>
          <w:szCs w:val="20"/>
        </w:rPr>
        <w:t>path-dependent memory.  In this model, shocks that would hypothetically place leverage below 0.000 or abo</w:t>
      </w:r>
      <w:r>
        <w:rPr>
          <w:rFonts w:eastAsiaTheme="minorEastAsia"/>
          <w:sz w:val="20"/>
          <w:szCs w:val="20"/>
        </w:rPr>
        <w:t>ve 1.000 instead reflect</w:t>
      </w:r>
      <w:r w:rsidRPr="00D9392B">
        <w:rPr>
          <w:rFonts w:eastAsiaTheme="minorEastAsia"/>
          <w:sz w:val="20"/>
          <w:szCs w:val="20"/>
        </w:rPr>
        <w:t xml:space="preserve"> leverage back</w:t>
      </w:r>
      <w:r>
        <w:rPr>
          <w:rFonts w:eastAsiaTheme="minorEastAsia"/>
          <w:sz w:val="20"/>
          <w:szCs w:val="20"/>
        </w:rPr>
        <w:t xml:space="preserve"> into the interior of the </w:t>
      </w:r>
      <w:r w:rsidRPr="00D9392B">
        <w:rPr>
          <w:rFonts w:eastAsiaTheme="minorEastAsia"/>
          <w:sz w:val="20"/>
          <w:szCs w:val="20"/>
        </w:rPr>
        <w:t>[0.000, 1.000]</w:t>
      </w:r>
      <w:r>
        <w:rPr>
          <w:rFonts w:eastAsiaTheme="minorEastAsia"/>
          <w:sz w:val="20"/>
          <w:szCs w:val="20"/>
        </w:rPr>
        <w:t xml:space="preserve"> interval</w:t>
      </w:r>
      <w:r w:rsidRPr="00D9392B">
        <w:rPr>
          <w:rFonts w:eastAsiaTheme="minorEastAsia"/>
          <w:sz w:val="20"/>
          <w:szCs w:val="20"/>
        </w:rPr>
        <w:t xml:space="preserve">.  The absorbing barriers plot is for a </w:t>
      </w:r>
      <w:r>
        <w:rPr>
          <w:rFonts w:eastAsiaTheme="minorEastAsia"/>
          <w:sz w:val="20"/>
          <w:szCs w:val="20"/>
        </w:rPr>
        <w:t xml:space="preserve">similar model, except now </w:t>
      </w:r>
      <w:r w:rsidRPr="00D9392B">
        <w:rPr>
          <w:rFonts w:eastAsiaTheme="minorEastAsia"/>
          <w:sz w:val="20"/>
          <w:szCs w:val="20"/>
        </w:rPr>
        <w:t>shocks that would hypothetically place leverage below 0.000 or above 1.000 instead leave leverage at the relevant endpoint of the interval.</w:t>
      </w:r>
      <w:r>
        <w:rPr>
          <w:rFonts w:eastAsiaTheme="minorEastAsia"/>
          <w:sz w:val="20"/>
          <w:szCs w:val="20"/>
        </w:rPr>
        <w:t xml:space="preserve">  In the body of the paper, Table VI shows that the reflecting barrier model offers a poor fit to the data due to unrealistically high variation error (</w:t>
      </w:r>
      <w:r w:rsidRPr="007D550E">
        <w:rPr>
          <w:rFonts w:eastAsiaTheme="minorEastAsia"/>
          <w:i/>
          <w:sz w:val="20"/>
          <w:szCs w:val="20"/>
        </w:rPr>
        <w:t>VE</w:t>
      </w:r>
      <w:r>
        <w:rPr>
          <w:rFonts w:eastAsiaTheme="minorEastAsia"/>
          <w:sz w:val="20"/>
          <w:szCs w:val="20"/>
        </w:rPr>
        <w:t>).</w:t>
      </w:r>
    </w:p>
    <w:p w:rsidR="007C21C7" w:rsidRDefault="007C21C7" w:rsidP="007C21C7">
      <w:pPr>
        <w:rPr>
          <w:rFonts w:eastAsia="Times New Roman" w:cs="Times New Roman"/>
          <w:sz w:val="20"/>
          <w:szCs w:val="20"/>
        </w:rPr>
      </w:pPr>
    </w:p>
    <w:p w:rsidR="00E57A40" w:rsidRDefault="00E57A40" w:rsidP="00E57A40">
      <w:pPr>
        <w:rPr>
          <w:rFonts w:eastAsia="Times New Roman" w:cs="Times New Roman"/>
          <w:sz w:val="20"/>
          <w:szCs w:val="20"/>
        </w:rPr>
      </w:pPr>
    </w:p>
    <w:p w:rsidR="00A90A5A" w:rsidRDefault="00A90A5A" w:rsidP="008F1E30">
      <w:pPr>
        <w:rPr>
          <w:rFonts w:eastAsia="Times New Roman" w:cs="Times New Roman"/>
          <w:sz w:val="20"/>
          <w:szCs w:val="20"/>
        </w:rPr>
      </w:pPr>
    </w:p>
    <w:p w:rsidR="008F1E30" w:rsidRDefault="008F1E30" w:rsidP="008F1E30">
      <w:pPr>
        <w:rPr>
          <w:rFonts w:eastAsia="Times New Roman" w:cs="Times New Roman"/>
          <w:sz w:val="20"/>
          <w:szCs w:val="20"/>
        </w:rPr>
      </w:pPr>
    </w:p>
    <w:p w:rsidR="008F1E30" w:rsidRPr="00AF7799" w:rsidRDefault="008F1E30" w:rsidP="008F1E30">
      <w:pPr>
        <w:rPr>
          <w:rFonts w:eastAsia="Times New Roman" w:cs="Times New Roman"/>
          <w:sz w:val="20"/>
          <w:szCs w:val="20"/>
        </w:rPr>
      </w:pPr>
    </w:p>
    <w:p w:rsidR="00447E78" w:rsidRDefault="00447E78" w:rsidP="00447E78">
      <w:pPr>
        <w:rPr>
          <w:rFonts w:cs="Times New Roman"/>
          <w:sz w:val="20"/>
          <w:szCs w:val="20"/>
        </w:rPr>
      </w:pPr>
    </w:p>
    <w:p w:rsidR="00447E78" w:rsidRDefault="00447E78" w:rsidP="00447E78">
      <w:pPr>
        <w:rPr>
          <w:rFonts w:cs="Times New Roman"/>
          <w:sz w:val="20"/>
          <w:szCs w:val="20"/>
        </w:rPr>
      </w:pPr>
    </w:p>
    <w:p w:rsidR="007C1423" w:rsidRDefault="007C1423" w:rsidP="008E39BB">
      <w:pPr>
        <w:widowControl w:val="0"/>
        <w:jc w:val="center"/>
      </w:pPr>
    </w:p>
    <w:p w:rsidR="007C1423" w:rsidRDefault="007C1423" w:rsidP="008E39BB">
      <w:pPr>
        <w:widowControl w:val="0"/>
        <w:jc w:val="center"/>
      </w:pPr>
    </w:p>
    <w:p w:rsidR="008E39BB" w:rsidRDefault="008E39BB" w:rsidP="008E39BB">
      <w:pPr>
        <w:widowControl w:val="0"/>
        <w:spacing w:line="480" w:lineRule="auto"/>
        <w:ind w:firstLine="720"/>
        <w:rPr>
          <w:sz w:val="20"/>
          <w:szCs w:val="20"/>
        </w:rPr>
        <w:sectPr w:rsidR="008E39BB" w:rsidSect="00074377">
          <w:headerReference w:type="default" r:id="rId11"/>
          <w:footerReference w:type="even" r:id="rId12"/>
          <w:footerReference w:type="default" r:id="rId13"/>
          <w:pgSz w:w="12240" w:h="15840"/>
          <w:pgMar w:top="1296" w:right="1440" w:bottom="1152" w:left="1440" w:header="720" w:footer="720" w:gutter="0"/>
          <w:pgNumType w:start="1"/>
          <w:cols w:space="720"/>
          <w:docGrid w:linePitch="360"/>
        </w:sectPr>
      </w:pPr>
    </w:p>
    <w:p w:rsidR="008E39BB" w:rsidRDefault="0067344F" w:rsidP="008E39BB">
      <w:pPr>
        <w:jc w:val="center"/>
        <w:rPr>
          <w:b/>
          <w:sz w:val="20"/>
          <w:szCs w:val="20"/>
        </w:rPr>
      </w:pPr>
      <w:r>
        <w:rPr>
          <w:b/>
          <w:sz w:val="20"/>
          <w:szCs w:val="20"/>
        </w:rPr>
        <w:lastRenderedPageBreak/>
        <w:t xml:space="preserve">Table </w:t>
      </w:r>
      <w:r w:rsidR="00AA4744">
        <w:rPr>
          <w:b/>
          <w:sz w:val="20"/>
          <w:szCs w:val="20"/>
        </w:rPr>
        <w:t>IA.</w:t>
      </w:r>
      <w:r w:rsidR="00E84F3B">
        <w:rPr>
          <w:b/>
          <w:sz w:val="20"/>
          <w:szCs w:val="20"/>
        </w:rPr>
        <w:t>I</w:t>
      </w:r>
    </w:p>
    <w:p w:rsidR="008E39BB" w:rsidRPr="007C6637" w:rsidRDefault="008E39BB" w:rsidP="008E39BB">
      <w:pPr>
        <w:jc w:val="center"/>
        <w:rPr>
          <w:b/>
          <w:sz w:val="20"/>
          <w:szCs w:val="20"/>
        </w:rPr>
      </w:pPr>
      <w:r>
        <w:rPr>
          <w:b/>
          <w:sz w:val="20"/>
          <w:szCs w:val="20"/>
        </w:rPr>
        <w:t xml:space="preserve">Time-Series Range of Book Leverage, Market Leverage, and </w:t>
      </w:r>
      <w:r w:rsidR="00123D72">
        <w:rPr>
          <w:b/>
          <w:sz w:val="20"/>
          <w:szCs w:val="20"/>
        </w:rPr>
        <w:t>Net Debt</w:t>
      </w:r>
      <w:r>
        <w:rPr>
          <w:b/>
          <w:sz w:val="20"/>
          <w:szCs w:val="20"/>
        </w:rPr>
        <w:t xml:space="preserve"> Ratios of Publicly Held Industrial Firms</w:t>
      </w:r>
    </w:p>
    <w:p w:rsidR="008E39BB" w:rsidRDefault="008E39BB" w:rsidP="008E39BB">
      <w:pPr>
        <w:rPr>
          <w:sz w:val="20"/>
          <w:szCs w:val="20"/>
        </w:rPr>
      </w:pPr>
    </w:p>
    <w:p w:rsidR="008E39BB" w:rsidRPr="00917FAB" w:rsidRDefault="008E39BB" w:rsidP="008E39BB">
      <w:pPr>
        <w:rPr>
          <w:sz w:val="20"/>
          <w:szCs w:val="20"/>
        </w:rPr>
      </w:pPr>
      <w:r>
        <w:rPr>
          <w:sz w:val="20"/>
          <w:szCs w:val="20"/>
        </w:rPr>
        <w:t xml:space="preserve">Book leverage is the ratio of total debt to total assets.  Market leverage is the ratio of debt to the sum of debt plus the market value of common stock.  The net-debt ratio equals debt minus cash, divided by total assets.  </w:t>
      </w:r>
      <w:r w:rsidRPr="00917FAB">
        <w:rPr>
          <w:sz w:val="20"/>
          <w:szCs w:val="20"/>
        </w:rPr>
        <w:t xml:space="preserve">The </w:t>
      </w:r>
      <w:r>
        <w:rPr>
          <w:sz w:val="20"/>
          <w:szCs w:val="20"/>
        </w:rPr>
        <w:t>sample contains</w:t>
      </w:r>
      <w:r w:rsidRPr="00917FAB">
        <w:rPr>
          <w:sz w:val="20"/>
          <w:szCs w:val="20"/>
        </w:rPr>
        <w:t xml:space="preserve"> 15,096 industrial firms in th</w:t>
      </w:r>
      <w:r w:rsidR="00304959">
        <w:rPr>
          <w:sz w:val="20"/>
          <w:szCs w:val="20"/>
        </w:rPr>
        <w:t xml:space="preserve">e CRSP/Compustat file over 1950 to </w:t>
      </w:r>
      <w:r w:rsidRPr="00917FAB">
        <w:rPr>
          <w:sz w:val="20"/>
          <w:szCs w:val="20"/>
        </w:rPr>
        <w:t xml:space="preserve">2008.  </w:t>
      </w:r>
      <w:r>
        <w:rPr>
          <w:sz w:val="20"/>
          <w:szCs w:val="20"/>
        </w:rPr>
        <w:t xml:space="preserve">The sample excludes firms (i) </w:t>
      </w:r>
      <w:r w:rsidRPr="00917FAB">
        <w:rPr>
          <w:sz w:val="20"/>
          <w:szCs w:val="20"/>
        </w:rPr>
        <w:t xml:space="preserve">with SIC codes </w:t>
      </w:r>
      <w:r>
        <w:rPr>
          <w:sz w:val="20"/>
          <w:szCs w:val="20"/>
        </w:rPr>
        <w:t>in</w:t>
      </w:r>
      <w:r w:rsidRPr="00917FAB">
        <w:rPr>
          <w:sz w:val="20"/>
          <w:szCs w:val="20"/>
        </w:rPr>
        <w:t xml:space="preserve"> the </w:t>
      </w:r>
      <w:r w:rsidR="00635568">
        <w:rPr>
          <w:sz w:val="20"/>
          <w:szCs w:val="20"/>
        </w:rPr>
        <w:t xml:space="preserve">ranges 4900 to </w:t>
      </w:r>
      <w:r>
        <w:rPr>
          <w:sz w:val="20"/>
          <w:szCs w:val="20"/>
        </w:rPr>
        <w:t>4949 (utilities) or</w:t>
      </w:r>
      <w:r w:rsidR="00635568">
        <w:rPr>
          <w:sz w:val="20"/>
          <w:szCs w:val="20"/>
        </w:rPr>
        <w:t xml:space="preserve"> 6000 to </w:t>
      </w:r>
      <w:r w:rsidRPr="00917FAB">
        <w:rPr>
          <w:sz w:val="20"/>
          <w:szCs w:val="20"/>
        </w:rPr>
        <w:t>6999 (financials)</w:t>
      </w:r>
      <w:r>
        <w:rPr>
          <w:sz w:val="20"/>
          <w:szCs w:val="20"/>
        </w:rPr>
        <w:t xml:space="preserve">, (ii) </w:t>
      </w:r>
      <w:r w:rsidRPr="00917FAB">
        <w:rPr>
          <w:sz w:val="20"/>
          <w:szCs w:val="20"/>
        </w:rPr>
        <w:t xml:space="preserve">incorporated </w:t>
      </w:r>
      <w:r>
        <w:rPr>
          <w:sz w:val="20"/>
          <w:szCs w:val="20"/>
        </w:rPr>
        <w:t xml:space="preserve">outside </w:t>
      </w:r>
      <w:r w:rsidRPr="00917FAB">
        <w:rPr>
          <w:sz w:val="20"/>
          <w:szCs w:val="20"/>
        </w:rPr>
        <w:t>the U.S.</w:t>
      </w:r>
      <w:r>
        <w:rPr>
          <w:sz w:val="20"/>
          <w:szCs w:val="20"/>
        </w:rPr>
        <w:t>, or(iii) without</w:t>
      </w:r>
      <w:r w:rsidRPr="00917FAB">
        <w:rPr>
          <w:sz w:val="20"/>
          <w:szCs w:val="20"/>
        </w:rPr>
        <w:t xml:space="preserve"> CRSP security code</w:t>
      </w:r>
      <w:r>
        <w:rPr>
          <w:sz w:val="20"/>
          <w:szCs w:val="20"/>
        </w:rPr>
        <w:t>s</w:t>
      </w:r>
      <w:r w:rsidRPr="00917FAB">
        <w:rPr>
          <w:sz w:val="20"/>
          <w:szCs w:val="20"/>
        </w:rPr>
        <w:t xml:space="preserve"> of 10 or 11.  A firm enters our sample in the first year that it has a nonmissing value for total assets on Compustat and a nonmissing share price on CRSP (or Compustat</w:t>
      </w:r>
      <w:r>
        <w:rPr>
          <w:sz w:val="20"/>
          <w:szCs w:val="20"/>
        </w:rPr>
        <w:t xml:space="preserve">).  It </w:t>
      </w:r>
      <w:r w:rsidRPr="00917FAB">
        <w:rPr>
          <w:sz w:val="20"/>
          <w:szCs w:val="20"/>
        </w:rPr>
        <w:t>remains in the sample as long as Compustat continues to report nonmissing values of total assets and the firm’s shares have not been delisted.</w:t>
      </w:r>
      <w:r>
        <w:rPr>
          <w:sz w:val="20"/>
          <w:szCs w:val="20"/>
        </w:rPr>
        <w:t xml:space="preserve">  The </w:t>
      </w:r>
      <w:r w:rsidR="009D2579">
        <w:rPr>
          <w:sz w:val="20"/>
          <w:szCs w:val="20"/>
        </w:rPr>
        <w:t>constant-comp</w:t>
      </w:r>
      <w:r>
        <w:rPr>
          <w:sz w:val="20"/>
          <w:szCs w:val="20"/>
        </w:rPr>
        <w:t xml:space="preserve">osition sample contains 157 firms that are included in the sample in 1950 and remain until at least 2000.  Panels A and C exclude the 0.22% of firm-year observations with book leverage over 1.000, while </w:t>
      </w:r>
      <w:r w:rsidR="00123D72">
        <w:rPr>
          <w:sz w:val="20"/>
          <w:szCs w:val="20"/>
        </w:rPr>
        <w:t>Panel</w:t>
      </w:r>
      <w:r>
        <w:rPr>
          <w:sz w:val="20"/>
          <w:szCs w:val="20"/>
        </w:rPr>
        <w:t xml:space="preserve"> B excludes the 1.67% of firms (almost all from the </w:t>
      </w:r>
      <w:r w:rsidR="00123D72">
        <w:rPr>
          <w:sz w:val="20"/>
          <w:szCs w:val="20"/>
        </w:rPr>
        <w:t>two</w:t>
      </w:r>
      <w:r>
        <w:rPr>
          <w:sz w:val="20"/>
          <w:szCs w:val="20"/>
        </w:rPr>
        <w:t xml:space="preserve"> to </w:t>
      </w:r>
      <w:r w:rsidR="00123D72">
        <w:rPr>
          <w:sz w:val="20"/>
          <w:szCs w:val="20"/>
        </w:rPr>
        <w:t>four</w:t>
      </w:r>
      <w:r>
        <w:rPr>
          <w:sz w:val="20"/>
          <w:szCs w:val="20"/>
        </w:rPr>
        <w:t xml:space="preserve"> year group) with insufficient equity value data to measure the range of market leverage.</w:t>
      </w:r>
      <w:r w:rsidR="00DF464B">
        <w:rPr>
          <w:sz w:val="20"/>
          <w:szCs w:val="20"/>
        </w:rPr>
        <w:t xml:space="preserve">  The far right column gives the firm counts before these sample exclusions.</w:t>
      </w:r>
    </w:p>
    <w:p w:rsidR="008E39BB" w:rsidRDefault="008E39BB" w:rsidP="008E39BB">
      <w:pPr>
        <w:rPr>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tblPr>
      <w:tblGrid>
        <w:gridCol w:w="2160"/>
        <w:gridCol w:w="1631"/>
        <w:gridCol w:w="1047"/>
        <w:gridCol w:w="1047"/>
        <w:gridCol w:w="1047"/>
        <w:gridCol w:w="1047"/>
        <w:gridCol w:w="1047"/>
        <w:gridCol w:w="1047"/>
        <w:gridCol w:w="1100"/>
        <w:gridCol w:w="1100"/>
        <w:gridCol w:w="144"/>
      </w:tblGrid>
      <w:tr w:rsidR="008E39BB" w:rsidRPr="00E754FB" w:rsidTr="00DE2A70">
        <w:trPr>
          <w:gridAfter w:val="1"/>
          <w:wAfter w:w="144" w:type="dxa"/>
          <w:trHeight w:val="144"/>
          <w:jc w:val="center"/>
        </w:trPr>
        <w:tc>
          <w:tcPr>
            <w:tcW w:w="2160" w:type="dxa"/>
            <w:tcBorders>
              <w:top w:val="single" w:sz="4" w:space="0" w:color="auto"/>
              <w:bottom w:val="nil"/>
            </w:tcBorders>
            <w:vAlign w:val="bottom"/>
          </w:tcPr>
          <w:p w:rsidR="00877535" w:rsidRDefault="00877535" w:rsidP="00DE2A70">
            <w:pPr>
              <w:jc w:val="left"/>
              <w:rPr>
                <w:rFonts w:ascii="Tahoma" w:hAnsi="Tahoma" w:cs="Tahoma"/>
                <w:sz w:val="20"/>
                <w:szCs w:val="20"/>
              </w:rPr>
            </w:pPr>
          </w:p>
        </w:tc>
        <w:tc>
          <w:tcPr>
            <w:tcW w:w="1631" w:type="dxa"/>
            <w:tcBorders>
              <w:top w:val="single" w:sz="4" w:space="0" w:color="auto"/>
              <w:bottom w:val="nil"/>
            </w:tcBorders>
            <w:vAlign w:val="bottom"/>
          </w:tcPr>
          <w:p w:rsidR="008E39BB" w:rsidRPr="00E754FB" w:rsidRDefault="008E39BB" w:rsidP="008E39BB">
            <w:pPr>
              <w:jc w:val="center"/>
              <w:rPr>
                <w:sz w:val="20"/>
                <w:szCs w:val="20"/>
              </w:rPr>
            </w:pPr>
          </w:p>
        </w:tc>
        <w:tc>
          <w:tcPr>
            <w:tcW w:w="6282" w:type="dxa"/>
            <w:gridSpan w:val="6"/>
            <w:tcBorders>
              <w:top w:val="single" w:sz="4" w:space="0" w:color="auto"/>
              <w:bottom w:val="single" w:sz="4" w:space="0" w:color="auto"/>
            </w:tcBorders>
            <w:vAlign w:val="bottom"/>
          </w:tcPr>
          <w:p w:rsidR="008E39BB" w:rsidRPr="00E754FB" w:rsidRDefault="00304959" w:rsidP="008E39BB">
            <w:pPr>
              <w:jc w:val="center"/>
              <w:rPr>
                <w:sz w:val="20"/>
                <w:szCs w:val="20"/>
              </w:rPr>
            </w:pPr>
            <w:r>
              <w:rPr>
                <w:sz w:val="20"/>
                <w:szCs w:val="20"/>
              </w:rPr>
              <w:t xml:space="preserve">% </w:t>
            </w:r>
            <w:r w:rsidR="008E39BB" w:rsidRPr="00E754FB">
              <w:rPr>
                <w:sz w:val="20"/>
                <w:szCs w:val="20"/>
              </w:rPr>
              <w:t>of</w:t>
            </w:r>
            <w:r w:rsidR="008E39BB">
              <w:rPr>
                <w:sz w:val="20"/>
                <w:szCs w:val="20"/>
              </w:rPr>
              <w:t xml:space="preserve"> firms with a range of leverage </w:t>
            </w:r>
            <w:r w:rsidR="008E39BB" w:rsidRPr="00E754FB">
              <w:rPr>
                <w:sz w:val="20"/>
                <w:szCs w:val="20"/>
              </w:rPr>
              <w:t>ratios in the interval:</w:t>
            </w:r>
          </w:p>
        </w:tc>
        <w:tc>
          <w:tcPr>
            <w:tcW w:w="1100" w:type="dxa"/>
            <w:tcBorders>
              <w:top w:val="single" w:sz="4" w:space="0" w:color="auto"/>
              <w:bottom w:val="nil"/>
            </w:tcBorders>
          </w:tcPr>
          <w:p w:rsidR="008E39BB" w:rsidRPr="00E754FB" w:rsidRDefault="008E39BB" w:rsidP="008E39BB">
            <w:pPr>
              <w:jc w:val="center"/>
              <w:rPr>
                <w:sz w:val="20"/>
                <w:szCs w:val="20"/>
              </w:rPr>
            </w:pPr>
          </w:p>
        </w:tc>
        <w:tc>
          <w:tcPr>
            <w:tcW w:w="1100" w:type="dxa"/>
            <w:tcBorders>
              <w:top w:val="single" w:sz="4" w:space="0" w:color="auto"/>
              <w:bottom w:val="nil"/>
            </w:tcBorders>
            <w:vAlign w:val="bottom"/>
          </w:tcPr>
          <w:p w:rsidR="008E39BB" w:rsidRPr="00E754FB" w:rsidRDefault="008E39BB" w:rsidP="008E39BB">
            <w:pPr>
              <w:jc w:val="center"/>
              <w:rPr>
                <w:sz w:val="20"/>
                <w:szCs w:val="20"/>
              </w:rPr>
            </w:pPr>
          </w:p>
        </w:tc>
      </w:tr>
      <w:tr w:rsidR="008E39BB" w:rsidRPr="00E754FB" w:rsidTr="00DE2A70">
        <w:trPr>
          <w:trHeight w:val="144"/>
          <w:jc w:val="center"/>
        </w:trPr>
        <w:tc>
          <w:tcPr>
            <w:tcW w:w="2160" w:type="dxa"/>
            <w:tcBorders>
              <w:top w:val="nil"/>
              <w:bottom w:val="single" w:sz="4" w:space="0" w:color="auto"/>
            </w:tcBorders>
            <w:vAlign w:val="bottom"/>
          </w:tcPr>
          <w:p w:rsidR="00877535" w:rsidRDefault="008E39BB" w:rsidP="00DE2A70">
            <w:pPr>
              <w:jc w:val="left"/>
              <w:rPr>
                <w:sz w:val="20"/>
                <w:szCs w:val="20"/>
              </w:rPr>
            </w:pPr>
            <w:r>
              <w:rPr>
                <w:sz w:val="20"/>
                <w:szCs w:val="20"/>
              </w:rPr>
              <w:t>Years on</w:t>
            </w:r>
          </w:p>
          <w:p w:rsidR="00877535" w:rsidRDefault="008E39BB" w:rsidP="00DE2A70">
            <w:pPr>
              <w:jc w:val="left"/>
              <w:rPr>
                <w:sz w:val="20"/>
                <w:szCs w:val="20"/>
              </w:rPr>
            </w:pPr>
            <w:r w:rsidRPr="00E754FB">
              <w:rPr>
                <w:sz w:val="20"/>
                <w:szCs w:val="20"/>
              </w:rPr>
              <w:t>Compustat</w:t>
            </w:r>
          </w:p>
        </w:tc>
        <w:tc>
          <w:tcPr>
            <w:tcW w:w="1631" w:type="dxa"/>
            <w:tcBorders>
              <w:top w:val="nil"/>
              <w:bottom w:val="single" w:sz="4" w:space="0" w:color="auto"/>
            </w:tcBorders>
            <w:vAlign w:val="bottom"/>
          </w:tcPr>
          <w:p w:rsidR="008E39BB" w:rsidRPr="00E754FB" w:rsidRDefault="008E39BB" w:rsidP="008E39BB">
            <w:pPr>
              <w:jc w:val="center"/>
              <w:rPr>
                <w:sz w:val="20"/>
                <w:szCs w:val="20"/>
              </w:rPr>
            </w:pPr>
            <w:r w:rsidRPr="00E754FB">
              <w:rPr>
                <w:sz w:val="20"/>
                <w:szCs w:val="20"/>
              </w:rPr>
              <w:t>Median</w:t>
            </w:r>
          </w:p>
          <w:p w:rsidR="008E39BB" w:rsidRPr="00E754FB" w:rsidRDefault="008E39BB" w:rsidP="008E39BB">
            <w:pPr>
              <w:jc w:val="center"/>
              <w:rPr>
                <w:sz w:val="20"/>
                <w:szCs w:val="20"/>
              </w:rPr>
            </w:pPr>
            <w:r w:rsidRPr="00E754FB">
              <w:rPr>
                <w:sz w:val="20"/>
                <w:szCs w:val="20"/>
              </w:rPr>
              <w:t>range</w:t>
            </w:r>
          </w:p>
        </w:tc>
        <w:tc>
          <w:tcPr>
            <w:tcW w:w="1047" w:type="dxa"/>
            <w:tcBorders>
              <w:top w:val="single" w:sz="4" w:space="0" w:color="auto"/>
              <w:bottom w:val="single" w:sz="4" w:space="0" w:color="auto"/>
            </w:tcBorders>
            <w:vAlign w:val="bottom"/>
          </w:tcPr>
          <w:p w:rsidR="008E39BB" w:rsidRPr="00E754FB" w:rsidRDefault="008E39BB" w:rsidP="008E39BB">
            <w:pPr>
              <w:jc w:val="center"/>
              <w:rPr>
                <w:sz w:val="20"/>
                <w:szCs w:val="20"/>
              </w:rPr>
            </w:pPr>
            <w:r w:rsidRPr="00E754FB">
              <w:rPr>
                <w:sz w:val="20"/>
                <w:szCs w:val="20"/>
              </w:rPr>
              <w:t>0.000</w:t>
            </w:r>
          </w:p>
          <w:p w:rsidR="008E39BB" w:rsidRPr="00E754FB" w:rsidRDefault="008E39BB" w:rsidP="008E39BB">
            <w:pPr>
              <w:jc w:val="center"/>
              <w:rPr>
                <w:sz w:val="20"/>
                <w:szCs w:val="20"/>
              </w:rPr>
            </w:pPr>
            <w:r w:rsidRPr="00E754FB">
              <w:rPr>
                <w:sz w:val="20"/>
                <w:szCs w:val="20"/>
              </w:rPr>
              <w:t>to 0.100</w:t>
            </w:r>
          </w:p>
        </w:tc>
        <w:tc>
          <w:tcPr>
            <w:tcW w:w="1047" w:type="dxa"/>
            <w:tcBorders>
              <w:top w:val="single" w:sz="4" w:space="0" w:color="auto"/>
              <w:bottom w:val="single" w:sz="4" w:space="0" w:color="auto"/>
            </w:tcBorders>
            <w:vAlign w:val="bottom"/>
          </w:tcPr>
          <w:p w:rsidR="008E39BB" w:rsidRPr="00E754FB" w:rsidRDefault="008E39BB" w:rsidP="008E39BB">
            <w:pPr>
              <w:jc w:val="center"/>
              <w:rPr>
                <w:sz w:val="20"/>
                <w:szCs w:val="20"/>
              </w:rPr>
            </w:pPr>
            <w:r w:rsidRPr="00E754FB">
              <w:rPr>
                <w:sz w:val="20"/>
                <w:szCs w:val="20"/>
              </w:rPr>
              <w:t>0.100</w:t>
            </w:r>
          </w:p>
          <w:p w:rsidR="008E39BB" w:rsidRPr="00E754FB" w:rsidRDefault="008E39BB" w:rsidP="008E39BB">
            <w:pPr>
              <w:jc w:val="center"/>
              <w:rPr>
                <w:sz w:val="20"/>
                <w:szCs w:val="20"/>
              </w:rPr>
            </w:pPr>
            <w:r w:rsidRPr="00E754FB">
              <w:rPr>
                <w:sz w:val="20"/>
                <w:szCs w:val="20"/>
              </w:rPr>
              <w:t>to 0.200</w:t>
            </w:r>
          </w:p>
        </w:tc>
        <w:tc>
          <w:tcPr>
            <w:tcW w:w="1047" w:type="dxa"/>
            <w:tcBorders>
              <w:top w:val="single" w:sz="4" w:space="0" w:color="auto"/>
              <w:bottom w:val="single" w:sz="4" w:space="0" w:color="auto"/>
            </w:tcBorders>
            <w:vAlign w:val="bottom"/>
          </w:tcPr>
          <w:p w:rsidR="008E39BB" w:rsidRPr="00E754FB" w:rsidRDefault="008E39BB" w:rsidP="008E39BB">
            <w:pPr>
              <w:jc w:val="center"/>
              <w:rPr>
                <w:sz w:val="20"/>
                <w:szCs w:val="20"/>
              </w:rPr>
            </w:pPr>
            <w:r w:rsidRPr="00E754FB">
              <w:rPr>
                <w:sz w:val="20"/>
                <w:szCs w:val="20"/>
              </w:rPr>
              <w:t>0.200</w:t>
            </w:r>
          </w:p>
          <w:p w:rsidR="008E39BB" w:rsidRPr="00E754FB" w:rsidRDefault="008E39BB" w:rsidP="008E39BB">
            <w:pPr>
              <w:jc w:val="center"/>
              <w:rPr>
                <w:sz w:val="20"/>
                <w:szCs w:val="20"/>
              </w:rPr>
            </w:pPr>
            <w:r w:rsidRPr="00E754FB">
              <w:rPr>
                <w:sz w:val="20"/>
                <w:szCs w:val="20"/>
              </w:rPr>
              <w:t>to 0.300</w:t>
            </w:r>
          </w:p>
        </w:tc>
        <w:tc>
          <w:tcPr>
            <w:tcW w:w="1047" w:type="dxa"/>
            <w:tcBorders>
              <w:top w:val="single" w:sz="4" w:space="0" w:color="auto"/>
              <w:bottom w:val="single" w:sz="4" w:space="0" w:color="auto"/>
            </w:tcBorders>
            <w:vAlign w:val="bottom"/>
          </w:tcPr>
          <w:p w:rsidR="008E39BB" w:rsidRPr="00E754FB" w:rsidRDefault="008E39BB" w:rsidP="008E39BB">
            <w:pPr>
              <w:jc w:val="center"/>
              <w:rPr>
                <w:sz w:val="20"/>
                <w:szCs w:val="20"/>
              </w:rPr>
            </w:pPr>
            <w:r w:rsidRPr="00E754FB">
              <w:rPr>
                <w:sz w:val="20"/>
                <w:szCs w:val="20"/>
              </w:rPr>
              <w:t>0.300</w:t>
            </w:r>
          </w:p>
          <w:p w:rsidR="008E39BB" w:rsidRPr="00E754FB" w:rsidRDefault="008E39BB" w:rsidP="008E39BB">
            <w:pPr>
              <w:jc w:val="center"/>
              <w:rPr>
                <w:sz w:val="20"/>
                <w:szCs w:val="20"/>
              </w:rPr>
            </w:pPr>
            <w:r w:rsidRPr="00E754FB">
              <w:rPr>
                <w:sz w:val="20"/>
                <w:szCs w:val="20"/>
              </w:rPr>
              <w:t>to 0.400</w:t>
            </w:r>
          </w:p>
        </w:tc>
        <w:tc>
          <w:tcPr>
            <w:tcW w:w="1047" w:type="dxa"/>
            <w:tcBorders>
              <w:top w:val="single" w:sz="4" w:space="0" w:color="auto"/>
              <w:bottom w:val="single" w:sz="4" w:space="0" w:color="auto"/>
            </w:tcBorders>
            <w:vAlign w:val="bottom"/>
          </w:tcPr>
          <w:p w:rsidR="008E39BB" w:rsidRPr="00E754FB" w:rsidRDefault="008E39BB" w:rsidP="008E39BB">
            <w:pPr>
              <w:jc w:val="center"/>
              <w:rPr>
                <w:sz w:val="20"/>
                <w:szCs w:val="20"/>
              </w:rPr>
            </w:pPr>
            <w:r w:rsidRPr="00E754FB">
              <w:rPr>
                <w:sz w:val="20"/>
                <w:szCs w:val="20"/>
              </w:rPr>
              <w:t>0.400</w:t>
            </w:r>
          </w:p>
          <w:p w:rsidR="008E39BB" w:rsidRPr="00E754FB" w:rsidRDefault="008E39BB" w:rsidP="008E39BB">
            <w:pPr>
              <w:jc w:val="center"/>
              <w:rPr>
                <w:sz w:val="20"/>
                <w:szCs w:val="20"/>
              </w:rPr>
            </w:pPr>
            <w:r w:rsidRPr="00E754FB">
              <w:rPr>
                <w:sz w:val="20"/>
                <w:szCs w:val="20"/>
              </w:rPr>
              <w:t>to 0.500</w:t>
            </w:r>
          </w:p>
        </w:tc>
        <w:tc>
          <w:tcPr>
            <w:tcW w:w="1047" w:type="dxa"/>
            <w:tcBorders>
              <w:top w:val="single" w:sz="4" w:space="0" w:color="auto"/>
              <w:bottom w:val="single" w:sz="4" w:space="0" w:color="auto"/>
            </w:tcBorders>
            <w:vAlign w:val="bottom"/>
          </w:tcPr>
          <w:p w:rsidR="008E39BB" w:rsidRPr="00E754FB" w:rsidRDefault="008E39BB" w:rsidP="008E39BB">
            <w:pPr>
              <w:jc w:val="center"/>
              <w:rPr>
                <w:sz w:val="20"/>
                <w:szCs w:val="20"/>
              </w:rPr>
            </w:pPr>
            <w:r w:rsidRPr="00E754FB">
              <w:rPr>
                <w:sz w:val="20"/>
                <w:szCs w:val="20"/>
              </w:rPr>
              <w:t>Above 0.500</w:t>
            </w:r>
          </w:p>
        </w:tc>
        <w:tc>
          <w:tcPr>
            <w:tcW w:w="1100" w:type="dxa"/>
            <w:tcBorders>
              <w:top w:val="nil"/>
              <w:bottom w:val="single" w:sz="4" w:space="0" w:color="auto"/>
            </w:tcBorders>
          </w:tcPr>
          <w:p w:rsidR="008E39BB" w:rsidRPr="00E754FB" w:rsidRDefault="008E39BB" w:rsidP="008E39BB">
            <w:pPr>
              <w:jc w:val="center"/>
              <w:rPr>
                <w:sz w:val="20"/>
                <w:szCs w:val="20"/>
              </w:rPr>
            </w:pPr>
            <w:r w:rsidRPr="00E754FB">
              <w:rPr>
                <w:sz w:val="20"/>
                <w:szCs w:val="20"/>
              </w:rPr>
              <w:t xml:space="preserve">Median </w:t>
            </w:r>
            <w:r>
              <w:rPr>
                <w:sz w:val="20"/>
                <w:szCs w:val="20"/>
              </w:rPr>
              <w:t>ratio</w:t>
            </w:r>
          </w:p>
        </w:tc>
        <w:tc>
          <w:tcPr>
            <w:tcW w:w="1244" w:type="dxa"/>
            <w:gridSpan w:val="2"/>
            <w:tcBorders>
              <w:top w:val="nil"/>
              <w:bottom w:val="single" w:sz="4" w:space="0" w:color="auto"/>
            </w:tcBorders>
            <w:vAlign w:val="bottom"/>
          </w:tcPr>
          <w:p w:rsidR="008E39BB" w:rsidRPr="00E754FB" w:rsidRDefault="008E39BB" w:rsidP="008E39BB">
            <w:pPr>
              <w:jc w:val="center"/>
              <w:rPr>
                <w:sz w:val="20"/>
                <w:szCs w:val="20"/>
              </w:rPr>
            </w:pPr>
            <w:r w:rsidRPr="00E754FB">
              <w:rPr>
                <w:sz w:val="20"/>
                <w:szCs w:val="20"/>
              </w:rPr>
              <w:t>Number</w:t>
            </w:r>
          </w:p>
          <w:p w:rsidR="008E39BB" w:rsidRPr="00E754FB" w:rsidRDefault="008E39BB" w:rsidP="008E39BB">
            <w:pPr>
              <w:jc w:val="center"/>
              <w:rPr>
                <w:sz w:val="20"/>
                <w:szCs w:val="20"/>
              </w:rPr>
            </w:pPr>
            <w:r w:rsidRPr="00E754FB">
              <w:rPr>
                <w:sz w:val="20"/>
                <w:szCs w:val="20"/>
              </w:rPr>
              <w:t>of firms</w:t>
            </w:r>
          </w:p>
        </w:tc>
      </w:tr>
      <w:tr w:rsidR="008E39BB" w:rsidRPr="00092E35" w:rsidTr="00DE2A70">
        <w:trPr>
          <w:trHeight w:val="144"/>
          <w:jc w:val="center"/>
        </w:trPr>
        <w:tc>
          <w:tcPr>
            <w:tcW w:w="12417" w:type="dxa"/>
            <w:gridSpan w:val="11"/>
            <w:tcBorders>
              <w:top w:val="nil"/>
              <w:bottom w:val="single" w:sz="4" w:space="0" w:color="auto"/>
            </w:tcBorders>
            <w:vAlign w:val="center"/>
          </w:tcPr>
          <w:p w:rsidR="008E39BB" w:rsidRPr="00092E35" w:rsidRDefault="00123D72" w:rsidP="009D2579">
            <w:pPr>
              <w:jc w:val="center"/>
              <w:rPr>
                <w:rFonts w:cs="Times New Roman"/>
                <w:sz w:val="20"/>
                <w:szCs w:val="20"/>
              </w:rPr>
            </w:pPr>
            <w:r>
              <w:rPr>
                <w:rFonts w:cs="Times New Roman"/>
                <w:sz w:val="20"/>
                <w:szCs w:val="20"/>
              </w:rPr>
              <w:t xml:space="preserve">Panel </w:t>
            </w:r>
            <w:r w:rsidR="008E39BB" w:rsidRPr="00092E35">
              <w:rPr>
                <w:rFonts w:cs="Times New Roman"/>
                <w:sz w:val="20"/>
                <w:szCs w:val="20"/>
              </w:rPr>
              <w:t xml:space="preserve">A. Book </w:t>
            </w:r>
            <w:r>
              <w:rPr>
                <w:rFonts w:cs="Times New Roman"/>
                <w:sz w:val="20"/>
                <w:szCs w:val="20"/>
              </w:rPr>
              <w:t>l</w:t>
            </w:r>
            <w:r w:rsidR="008E39BB" w:rsidRPr="00092E35">
              <w:rPr>
                <w:rFonts w:cs="Times New Roman"/>
                <w:sz w:val="20"/>
                <w:szCs w:val="20"/>
              </w:rPr>
              <w:t>everage</w:t>
            </w:r>
          </w:p>
        </w:tc>
      </w:tr>
      <w:tr w:rsidR="003D5BDA" w:rsidRPr="00092E35" w:rsidTr="00DE2A70">
        <w:trPr>
          <w:trHeight w:val="144"/>
          <w:jc w:val="center"/>
        </w:trPr>
        <w:tc>
          <w:tcPr>
            <w:tcW w:w="2160" w:type="dxa"/>
            <w:tcBorders>
              <w:top w:val="single" w:sz="4" w:space="0" w:color="auto"/>
              <w:bottom w:val="nil"/>
            </w:tcBorders>
            <w:vAlign w:val="center"/>
          </w:tcPr>
          <w:p w:rsidR="00877535" w:rsidRDefault="003D5BDA" w:rsidP="00DE2A70">
            <w:pPr>
              <w:jc w:val="left"/>
              <w:rPr>
                <w:rFonts w:cs="Times New Roman"/>
                <w:sz w:val="20"/>
                <w:szCs w:val="20"/>
              </w:rPr>
            </w:pPr>
            <w:r w:rsidRPr="00092E35">
              <w:rPr>
                <w:rFonts w:cs="Times New Roman"/>
                <w:sz w:val="20"/>
                <w:szCs w:val="20"/>
              </w:rPr>
              <w:t>20-plus</w:t>
            </w:r>
          </w:p>
        </w:tc>
        <w:tc>
          <w:tcPr>
            <w:tcW w:w="1631" w:type="dxa"/>
            <w:tcBorders>
              <w:top w:val="single" w:sz="4" w:space="0" w:color="auto"/>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0.391</w:t>
            </w:r>
          </w:p>
        </w:tc>
        <w:tc>
          <w:tcPr>
            <w:tcW w:w="1047" w:type="dxa"/>
            <w:tcBorders>
              <w:top w:val="single" w:sz="4" w:space="0" w:color="auto"/>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2.3%</w:t>
            </w:r>
          </w:p>
        </w:tc>
        <w:tc>
          <w:tcPr>
            <w:tcW w:w="1047" w:type="dxa"/>
            <w:tcBorders>
              <w:top w:val="single" w:sz="4" w:space="0" w:color="auto"/>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6.1%</w:t>
            </w:r>
          </w:p>
        </w:tc>
        <w:tc>
          <w:tcPr>
            <w:tcW w:w="1047" w:type="dxa"/>
            <w:tcBorders>
              <w:top w:val="single" w:sz="4" w:space="0" w:color="auto"/>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19.9%</w:t>
            </w:r>
          </w:p>
        </w:tc>
        <w:tc>
          <w:tcPr>
            <w:tcW w:w="1047" w:type="dxa"/>
            <w:tcBorders>
              <w:top w:val="single" w:sz="4" w:space="0" w:color="auto"/>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23.4%</w:t>
            </w:r>
          </w:p>
        </w:tc>
        <w:tc>
          <w:tcPr>
            <w:tcW w:w="1047" w:type="dxa"/>
            <w:tcBorders>
              <w:top w:val="single" w:sz="4" w:space="0" w:color="auto"/>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19.2%</w:t>
            </w:r>
          </w:p>
        </w:tc>
        <w:tc>
          <w:tcPr>
            <w:tcW w:w="1047" w:type="dxa"/>
            <w:tcBorders>
              <w:top w:val="single" w:sz="4" w:space="0" w:color="auto"/>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29.2%</w:t>
            </w:r>
          </w:p>
        </w:tc>
        <w:tc>
          <w:tcPr>
            <w:tcW w:w="1100" w:type="dxa"/>
            <w:tcBorders>
              <w:top w:val="single" w:sz="4" w:space="0" w:color="auto"/>
              <w:bottom w:val="nil"/>
            </w:tcBorders>
            <w:vAlign w:val="bottom"/>
          </w:tcPr>
          <w:p w:rsidR="003D5BDA" w:rsidRPr="003D5BDA" w:rsidRDefault="003D5BDA" w:rsidP="008E39BB">
            <w:pPr>
              <w:jc w:val="center"/>
              <w:rPr>
                <w:rFonts w:cs="Times New Roman"/>
                <w:color w:val="000000"/>
                <w:sz w:val="20"/>
                <w:szCs w:val="20"/>
              </w:rPr>
            </w:pPr>
            <w:r w:rsidRPr="003D5BDA">
              <w:rPr>
                <w:rFonts w:eastAsia="Times New Roman" w:cs="Times New Roman"/>
                <w:color w:val="000000"/>
                <w:sz w:val="20"/>
                <w:szCs w:val="20"/>
              </w:rPr>
              <w:t>0.211</w:t>
            </w:r>
          </w:p>
        </w:tc>
        <w:tc>
          <w:tcPr>
            <w:tcW w:w="1244" w:type="dxa"/>
            <w:gridSpan w:val="2"/>
            <w:tcBorders>
              <w:top w:val="single" w:sz="4" w:space="0" w:color="auto"/>
              <w:bottom w:val="nil"/>
            </w:tcBorders>
            <w:vAlign w:val="center"/>
          </w:tcPr>
          <w:p w:rsidR="003D5BDA" w:rsidRPr="00092E35" w:rsidRDefault="003D5BDA" w:rsidP="008E39BB">
            <w:pPr>
              <w:jc w:val="center"/>
              <w:rPr>
                <w:rFonts w:cs="Times New Roman"/>
                <w:color w:val="000000"/>
                <w:sz w:val="20"/>
                <w:szCs w:val="20"/>
              </w:rPr>
            </w:pPr>
            <w:r w:rsidRPr="00092E35">
              <w:rPr>
                <w:rFonts w:cs="Times New Roman"/>
                <w:color w:val="000000"/>
                <w:sz w:val="20"/>
                <w:szCs w:val="20"/>
              </w:rPr>
              <w:t>2751</w:t>
            </w:r>
          </w:p>
        </w:tc>
      </w:tr>
      <w:tr w:rsidR="003D5BDA" w:rsidRPr="00092E35" w:rsidTr="00DE2A70">
        <w:trPr>
          <w:trHeight w:val="144"/>
          <w:jc w:val="center"/>
        </w:trPr>
        <w:tc>
          <w:tcPr>
            <w:tcW w:w="2160" w:type="dxa"/>
            <w:tcBorders>
              <w:top w:val="nil"/>
            </w:tcBorders>
            <w:vAlign w:val="center"/>
          </w:tcPr>
          <w:p w:rsidR="00877535" w:rsidRDefault="003D5BDA" w:rsidP="00DE2A70">
            <w:pPr>
              <w:jc w:val="left"/>
              <w:rPr>
                <w:rFonts w:cs="Times New Roman"/>
                <w:sz w:val="20"/>
                <w:szCs w:val="20"/>
              </w:rPr>
            </w:pPr>
            <w:r w:rsidRPr="00092E35">
              <w:rPr>
                <w:rFonts w:cs="Times New Roman"/>
                <w:sz w:val="20"/>
                <w:szCs w:val="20"/>
              </w:rPr>
              <w:t>15 to 19</w:t>
            </w:r>
          </w:p>
        </w:tc>
        <w:tc>
          <w:tcPr>
            <w:tcW w:w="1631" w:type="dxa"/>
            <w:tcBorders>
              <w:top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0.357</w:t>
            </w:r>
          </w:p>
        </w:tc>
        <w:tc>
          <w:tcPr>
            <w:tcW w:w="1047" w:type="dxa"/>
            <w:tcBorders>
              <w:top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5.2%</w:t>
            </w:r>
          </w:p>
        </w:tc>
        <w:tc>
          <w:tcPr>
            <w:tcW w:w="1047" w:type="dxa"/>
            <w:tcBorders>
              <w:top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11.8%</w:t>
            </w:r>
          </w:p>
        </w:tc>
        <w:tc>
          <w:tcPr>
            <w:tcW w:w="1047" w:type="dxa"/>
            <w:tcBorders>
              <w:top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20.7%</w:t>
            </w:r>
          </w:p>
        </w:tc>
        <w:tc>
          <w:tcPr>
            <w:tcW w:w="1047" w:type="dxa"/>
            <w:tcBorders>
              <w:top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20.9%</w:t>
            </w:r>
          </w:p>
        </w:tc>
        <w:tc>
          <w:tcPr>
            <w:tcW w:w="1047" w:type="dxa"/>
            <w:tcBorders>
              <w:top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16.1%</w:t>
            </w:r>
          </w:p>
        </w:tc>
        <w:tc>
          <w:tcPr>
            <w:tcW w:w="1047" w:type="dxa"/>
            <w:tcBorders>
              <w:top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25.3%</w:t>
            </w:r>
          </w:p>
        </w:tc>
        <w:tc>
          <w:tcPr>
            <w:tcW w:w="1100" w:type="dxa"/>
            <w:tcBorders>
              <w:top w:val="nil"/>
            </w:tcBorders>
            <w:vAlign w:val="bottom"/>
          </w:tcPr>
          <w:p w:rsidR="003D5BDA" w:rsidRPr="003D5BDA" w:rsidRDefault="003D5BDA" w:rsidP="008E39BB">
            <w:pPr>
              <w:jc w:val="center"/>
              <w:rPr>
                <w:rFonts w:cs="Times New Roman"/>
                <w:color w:val="000000"/>
                <w:sz w:val="20"/>
                <w:szCs w:val="20"/>
              </w:rPr>
            </w:pPr>
            <w:r w:rsidRPr="003D5BDA">
              <w:rPr>
                <w:rFonts w:eastAsia="Times New Roman" w:cs="Times New Roman"/>
                <w:color w:val="000000"/>
                <w:sz w:val="20"/>
                <w:szCs w:val="20"/>
              </w:rPr>
              <w:t>0.195</w:t>
            </w:r>
          </w:p>
        </w:tc>
        <w:tc>
          <w:tcPr>
            <w:tcW w:w="1244" w:type="dxa"/>
            <w:gridSpan w:val="2"/>
            <w:tcBorders>
              <w:top w:val="nil"/>
            </w:tcBorders>
            <w:vAlign w:val="center"/>
          </w:tcPr>
          <w:p w:rsidR="003D5BDA" w:rsidRPr="00092E35" w:rsidRDefault="003D5BDA" w:rsidP="008E39BB">
            <w:pPr>
              <w:jc w:val="center"/>
              <w:rPr>
                <w:rFonts w:cs="Times New Roman"/>
                <w:color w:val="000000"/>
                <w:sz w:val="20"/>
                <w:szCs w:val="20"/>
              </w:rPr>
            </w:pPr>
            <w:r w:rsidRPr="00092E35">
              <w:rPr>
                <w:rFonts w:cs="Times New Roman"/>
                <w:color w:val="000000"/>
                <w:sz w:val="20"/>
                <w:szCs w:val="20"/>
              </w:rPr>
              <w:t>1514</w:t>
            </w:r>
          </w:p>
        </w:tc>
      </w:tr>
      <w:tr w:rsidR="003D5BDA" w:rsidRPr="00092E35" w:rsidTr="0068560D">
        <w:trPr>
          <w:trHeight w:val="144"/>
          <w:jc w:val="center"/>
        </w:trPr>
        <w:tc>
          <w:tcPr>
            <w:tcW w:w="2160" w:type="dxa"/>
            <w:vAlign w:val="center"/>
          </w:tcPr>
          <w:p w:rsidR="00877535" w:rsidRDefault="003D5BDA" w:rsidP="00DE2A70">
            <w:pPr>
              <w:jc w:val="left"/>
              <w:rPr>
                <w:rFonts w:cs="Times New Roman"/>
                <w:sz w:val="20"/>
                <w:szCs w:val="20"/>
              </w:rPr>
            </w:pPr>
            <w:r w:rsidRPr="00092E35">
              <w:rPr>
                <w:rFonts w:cs="Times New Roman"/>
                <w:sz w:val="20"/>
                <w:szCs w:val="20"/>
              </w:rPr>
              <w:t>10 to 14</w:t>
            </w:r>
          </w:p>
        </w:tc>
        <w:tc>
          <w:tcPr>
            <w:tcW w:w="1631"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0.314</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11.8%</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15.1%</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20.6%</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17.8%</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13.0%</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21.8%</w:t>
            </w:r>
          </w:p>
        </w:tc>
        <w:tc>
          <w:tcPr>
            <w:tcW w:w="1100" w:type="dxa"/>
            <w:vAlign w:val="bottom"/>
          </w:tcPr>
          <w:p w:rsidR="003D5BDA" w:rsidRPr="003D5BDA" w:rsidRDefault="003D5BDA" w:rsidP="008E39BB">
            <w:pPr>
              <w:jc w:val="center"/>
              <w:rPr>
                <w:rFonts w:cs="Times New Roman"/>
                <w:color w:val="000000"/>
                <w:sz w:val="20"/>
                <w:szCs w:val="20"/>
              </w:rPr>
            </w:pPr>
            <w:r w:rsidRPr="003D5BDA">
              <w:rPr>
                <w:rFonts w:eastAsia="Times New Roman" w:cs="Times New Roman"/>
                <w:color w:val="000000"/>
                <w:sz w:val="20"/>
                <w:szCs w:val="20"/>
              </w:rPr>
              <w:t>0.189</w:t>
            </w:r>
          </w:p>
        </w:tc>
        <w:tc>
          <w:tcPr>
            <w:tcW w:w="1244" w:type="dxa"/>
            <w:gridSpan w:val="2"/>
            <w:vAlign w:val="center"/>
          </w:tcPr>
          <w:p w:rsidR="003D5BDA" w:rsidRPr="00092E35" w:rsidRDefault="003D5BDA" w:rsidP="008E39BB">
            <w:pPr>
              <w:jc w:val="center"/>
              <w:rPr>
                <w:rFonts w:cs="Times New Roman"/>
                <w:color w:val="000000"/>
                <w:sz w:val="20"/>
                <w:szCs w:val="20"/>
              </w:rPr>
            </w:pPr>
            <w:r w:rsidRPr="00092E35">
              <w:rPr>
                <w:rFonts w:cs="Times New Roman"/>
                <w:color w:val="000000"/>
                <w:sz w:val="20"/>
                <w:szCs w:val="20"/>
              </w:rPr>
              <w:t>2408</w:t>
            </w:r>
          </w:p>
        </w:tc>
      </w:tr>
      <w:tr w:rsidR="003D5BDA" w:rsidRPr="00092E35" w:rsidTr="0068560D">
        <w:trPr>
          <w:trHeight w:val="144"/>
          <w:jc w:val="center"/>
        </w:trPr>
        <w:tc>
          <w:tcPr>
            <w:tcW w:w="2160" w:type="dxa"/>
            <w:vAlign w:val="center"/>
          </w:tcPr>
          <w:p w:rsidR="00877535" w:rsidRDefault="003D5BDA" w:rsidP="00DE2A70">
            <w:pPr>
              <w:jc w:val="left"/>
              <w:rPr>
                <w:rFonts w:cs="Times New Roman"/>
                <w:sz w:val="20"/>
                <w:szCs w:val="20"/>
              </w:rPr>
            </w:pPr>
            <w:r w:rsidRPr="00092E35">
              <w:rPr>
                <w:rFonts w:cs="Times New Roman"/>
                <w:sz w:val="20"/>
                <w:szCs w:val="20"/>
              </w:rPr>
              <w:t>5 to 9</w:t>
            </w:r>
          </w:p>
        </w:tc>
        <w:tc>
          <w:tcPr>
            <w:tcW w:w="1631"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0.241</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20.7%</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20.7%</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18.9%</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14.9%</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9.9%</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15.0%</w:t>
            </w:r>
          </w:p>
        </w:tc>
        <w:tc>
          <w:tcPr>
            <w:tcW w:w="1100" w:type="dxa"/>
            <w:vAlign w:val="bottom"/>
          </w:tcPr>
          <w:p w:rsidR="003D5BDA" w:rsidRPr="003D5BDA" w:rsidRDefault="003D5BDA" w:rsidP="008E39BB">
            <w:pPr>
              <w:jc w:val="center"/>
              <w:rPr>
                <w:rFonts w:cs="Times New Roman"/>
                <w:color w:val="000000"/>
                <w:sz w:val="20"/>
                <w:szCs w:val="20"/>
              </w:rPr>
            </w:pPr>
            <w:r w:rsidRPr="003D5BDA">
              <w:rPr>
                <w:rFonts w:eastAsia="Times New Roman" w:cs="Times New Roman"/>
                <w:color w:val="000000"/>
                <w:sz w:val="20"/>
                <w:szCs w:val="20"/>
              </w:rPr>
              <w:t>0.179</w:t>
            </w:r>
          </w:p>
        </w:tc>
        <w:tc>
          <w:tcPr>
            <w:tcW w:w="1244" w:type="dxa"/>
            <w:gridSpan w:val="2"/>
            <w:vAlign w:val="center"/>
          </w:tcPr>
          <w:p w:rsidR="003D5BDA" w:rsidRPr="00092E35" w:rsidRDefault="003D5BDA" w:rsidP="008E39BB">
            <w:pPr>
              <w:jc w:val="center"/>
              <w:rPr>
                <w:rFonts w:cs="Times New Roman"/>
                <w:color w:val="000000"/>
                <w:sz w:val="20"/>
                <w:szCs w:val="20"/>
              </w:rPr>
            </w:pPr>
            <w:r w:rsidRPr="00092E35">
              <w:rPr>
                <w:rFonts w:cs="Times New Roman"/>
                <w:color w:val="000000"/>
                <w:sz w:val="20"/>
                <w:szCs w:val="20"/>
              </w:rPr>
              <w:t>3740</w:t>
            </w:r>
          </w:p>
        </w:tc>
      </w:tr>
      <w:tr w:rsidR="003D5BDA" w:rsidRPr="00092E35" w:rsidTr="0068560D">
        <w:trPr>
          <w:trHeight w:val="144"/>
          <w:jc w:val="center"/>
        </w:trPr>
        <w:tc>
          <w:tcPr>
            <w:tcW w:w="2160" w:type="dxa"/>
            <w:vAlign w:val="center"/>
          </w:tcPr>
          <w:p w:rsidR="00877535" w:rsidRDefault="003D5BDA" w:rsidP="00DE2A70">
            <w:pPr>
              <w:jc w:val="left"/>
              <w:rPr>
                <w:rFonts w:cs="Times New Roman"/>
                <w:sz w:val="20"/>
                <w:szCs w:val="20"/>
              </w:rPr>
            </w:pPr>
            <w:r w:rsidRPr="00092E35">
              <w:rPr>
                <w:rFonts w:cs="Times New Roman"/>
                <w:sz w:val="20"/>
                <w:szCs w:val="20"/>
              </w:rPr>
              <w:t>2 to 4</w:t>
            </w:r>
          </w:p>
        </w:tc>
        <w:tc>
          <w:tcPr>
            <w:tcW w:w="1631"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0.110</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47.7%</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19.9%</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12.7%</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9.1%</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4.8%</w:t>
            </w:r>
          </w:p>
        </w:tc>
        <w:tc>
          <w:tcPr>
            <w:tcW w:w="1047" w:type="dxa"/>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5.8%</w:t>
            </w:r>
          </w:p>
        </w:tc>
        <w:tc>
          <w:tcPr>
            <w:tcW w:w="1100" w:type="dxa"/>
            <w:vAlign w:val="bottom"/>
          </w:tcPr>
          <w:p w:rsidR="003D5BDA" w:rsidRPr="003D5BDA" w:rsidRDefault="003D5BDA" w:rsidP="008E39BB">
            <w:pPr>
              <w:jc w:val="center"/>
              <w:rPr>
                <w:rFonts w:cs="Times New Roman"/>
                <w:color w:val="000000"/>
                <w:sz w:val="20"/>
                <w:szCs w:val="20"/>
              </w:rPr>
            </w:pPr>
            <w:r w:rsidRPr="003D5BDA">
              <w:rPr>
                <w:rFonts w:eastAsia="Times New Roman" w:cs="Times New Roman"/>
                <w:color w:val="000000"/>
                <w:sz w:val="20"/>
                <w:szCs w:val="20"/>
              </w:rPr>
              <w:t>0.173</w:t>
            </w:r>
          </w:p>
        </w:tc>
        <w:tc>
          <w:tcPr>
            <w:tcW w:w="1244" w:type="dxa"/>
            <w:gridSpan w:val="2"/>
            <w:vAlign w:val="center"/>
          </w:tcPr>
          <w:p w:rsidR="003D5BDA" w:rsidRPr="00092E35" w:rsidRDefault="003D5BDA" w:rsidP="008E39BB">
            <w:pPr>
              <w:jc w:val="center"/>
              <w:rPr>
                <w:rFonts w:cs="Times New Roman"/>
                <w:color w:val="000000"/>
                <w:sz w:val="20"/>
                <w:szCs w:val="20"/>
              </w:rPr>
            </w:pPr>
            <w:r w:rsidRPr="00092E35">
              <w:rPr>
                <w:rFonts w:cs="Times New Roman"/>
                <w:color w:val="000000"/>
                <w:sz w:val="20"/>
                <w:szCs w:val="20"/>
              </w:rPr>
              <w:t>3779</w:t>
            </w:r>
          </w:p>
        </w:tc>
      </w:tr>
      <w:tr w:rsidR="003D5BDA" w:rsidRPr="00092E35" w:rsidTr="0068560D">
        <w:trPr>
          <w:trHeight w:val="144"/>
          <w:jc w:val="center"/>
        </w:trPr>
        <w:tc>
          <w:tcPr>
            <w:tcW w:w="2160" w:type="dxa"/>
            <w:tcBorders>
              <w:bottom w:val="nil"/>
            </w:tcBorders>
            <w:vAlign w:val="center"/>
          </w:tcPr>
          <w:p w:rsidR="00877535" w:rsidRDefault="003D5BDA" w:rsidP="00DE2A70">
            <w:pPr>
              <w:jc w:val="left"/>
              <w:rPr>
                <w:rFonts w:cs="Times New Roman"/>
                <w:sz w:val="20"/>
                <w:szCs w:val="20"/>
              </w:rPr>
            </w:pPr>
            <w:r w:rsidRPr="00092E35">
              <w:rPr>
                <w:rFonts w:cs="Times New Roman"/>
                <w:sz w:val="20"/>
                <w:szCs w:val="20"/>
              </w:rPr>
              <w:t>1</w:t>
            </w:r>
          </w:p>
        </w:tc>
        <w:tc>
          <w:tcPr>
            <w:tcW w:w="1631" w:type="dxa"/>
            <w:tcBorders>
              <w:bottom w:val="nil"/>
            </w:tcBorders>
            <w:vAlign w:val="center"/>
          </w:tcPr>
          <w:p w:rsidR="003D5BDA" w:rsidRPr="00092E35" w:rsidRDefault="003D5BDA" w:rsidP="008E39BB">
            <w:pPr>
              <w:pStyle w:val="ListParagraph"/>
              <w:jc w:val="left"/>
              <w:rPr>
                <w:rFonts w:cs="Times New Roman"/>
                <w:sz w:val="20"/>
                <w:szCs w:val="20"/>
              </w:rPr>
            </w:pPr>
            <w:r w:rsidRPr="00092E35">
              <w:rPr>
                <w:rFonts w:eastAsia="Times New Roman" w:cs="Times New Roman"/>
                <w:color w:val="000000"/>
                <w:sz w:val="20"/>
                <w:szCs w:val="20"/>
              </w:rPr>
              <w:t>---</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w:t>
            </w:r>
          </w:p>
        </w:tc>
        <w:tc>
          <w:tcPr>
            <w:tcW w:w="1100" w:type="dxa"/>
            <w:tcBorders>
              <w:bottom w:val="nil"/>
            </w:tcBorders>
            <w:vAlign w:val="bottom"/>
          </w:tcPr>
          <w:p w:rsidR="003D5BDA" w:rsidRPr="003D5BDA" w:rsidRDefault="003D5BDA" w:rsidP="008E39BB">
            <w:pPr>
              <w:jc w:val="center"/>
              <w:rPr>
                <w:rFonts w:cs="Times New Roman"/>
                <w:color w:val="000000"/>
                <w:sz w:val="20"/>
                <w:szCs w:val="20"/>
              </w:rPr>
            </w:pPr>
            <w:r w:rsidRPr="003D5BDA">
              <w:rPr>
                <w:rFonts w:eastAsia="Times New Roman" w:cs="Times New Roman"/>
                <w:color w:val="000000"/>
                <w:sz w:val="20"/>
                <w:szCs w:val="20"/>
              </w:rPr>
              <w:t>0.158</w:t>
            </w:r>
          </w:p>
        </w:tc>
        <w:tc>
          <w:tcPr>
            <w:tcW w:w="1244" w:type="dxa"/>
            <w:gridSpan w:val="2"/>
            <w:tcBorders>
              <w:bottom w:val="nil"/>
            </w:tcBorders>
            <w:vAlign w:val="center"/>
          </w:tcPr>
          <w:p w:rsidR="003D5BDA" w:rsidRPr="00092E35" w:rsidRDefault="003D5BDA" w:rsidP="008E39BB">
            <w:pPr>
              <w:jc w:val="center"/>
              <w:rPr>
                <w:rFonts w:cs="Times New Roman"/>
                <w:color w:val="000000"/>
                <w:sz w:val="20"/>
                <w:szCs w:val="20"/>
              </w:rPr>
            </w:pPr>
            <w:r w:rsidRPr="00092E35">
              <w:rPr>
                <w:rFonts w:cs="Times New Roman"/>
                <w:color w:val="000000"/>
                <w:sz w:val="20"/>
                <w:szCs w:val="20"/>
              </w:rPr>
              <w:t>904</w:t>
            </w:r>
          </w:p>
        </w:tc>
      </w:tr>
      <w:tr w:rsidR="003D5BDA" w:rsidRPr="00092E35" w:rsidTr="0068560D">
        <w:trPr>
          <w:trHeight w:val="144"/>
          <w:jc w:val="center"/>
        </w:trPr>
        <w:tc>
          <w:tcPr>
            <w:tcW w:w="2160" w:type="dxa"/>
            <w:tcBorders>
              <w:bottom w:val="nil"/>
            </w:tcBorders>
            <w:vAlign w:val="center"/>
          </w:tcPr>
          <w:p w:rsidR="00877535" w:rsidRDefault="003D5BDA" w:rsidP="00DE2A70">
            <w:pPr>
              <w:jc w:val="left"/>
              <w:rPr>
                <w:rFonts w:cs="Times New Roman"/>
                <w:sz w:val="20"/>
                <w:szCs w:val="20"/>
              </w:rPr>
            </w:pPr>
            <w:r w:rsidRPr="00092E35">
              <w:rPr>
                <w:rFonts w:cs="Times New Roman"/>
                <w:sz w:val="20"/>
                <w:szCs w:val="20"/>
              </w:rPr>
              <w:t>Constant</w:t>
            </w:r>
            <w:r w:rsidR="009D2579">
              <w:rPr>
                <w:rFonts w:cs="Times New Roman"/>
                <w:sz w:val="20"/>
                <w:szCs w:val="20"/>
              </w:rPr>
              <w:t>-</w:t>
            </w:r>
            <w:r w:rsidRPr="00092E35">
              <w:rPr>
                <w:rFonts w:cs="Times New Roman"/>
                <w:sz w:val="20"/>
                <w:szCs w:val="20"/>
              </w:rPr>
              <w:t>comp sample</w:t>
            </w:r>
          </w:p>
        </w:tc>
        <w:tc>
          <w:tcPr>
            <w:tcW w:w="1631" w:type="dxa"/>
            <w:tcBorders>
              <w:bottom w:val="nil"/>
            </w:tcBorders>
            <w:vAlign w:val="center"/>
          </w:tcPr>
          <w:p w:rsidR="003D5BDA" w:rsidRPr="00092E35" w:rsidRDefault="003D5BDA" w:rsidP="008E39BB">
            <w:pPr>
              <w:pStyle w:val="ListParagraph"/>
              <w:ind w:left="0"/>
              <w:jc w:val="center"/>
              <w:rPr>
                <w:rFonts w:cs="Times New Roman"/>
                <w:sz w:val="20"/>
                <w:szCs w:val="20"/>
              </w:rPr>
            </w:pPr>
            <w:r w:rsidRPr="00092E35">
              <w:rPr>
                <w:rFonts w:eastAsia="Times New Roman" w:cs="Times New Roman"/>
                <w:color w:val="000000"/>
                <w:sz w:val="20"/>
                <w:szCs w:val="20"/>
              </w:rPr>
              <w:t>0.400</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0.0%</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1.3%</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15.9%</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32.5%</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24.8%</w:t>
            </w:r>
          </w:p>
        </w:tc>
        <w:tc>
          <w:tcPr>
            <w:tcW w:w="1047" w:type="dxa"/>
            <w:tcBorders>
              <w:bottom w:val="nil"/>
            </w:tcBorders>
            <w:vAlign w:val="center"/>
          </w:tcPr>
          <w:p w:rsidR="003D5BDA" w:rsidRPr="00092E35" w:rsidRDefault="003D5BDA" w:rsidP="008E39BB">
            <w:pPr>
              <w:jc w:val="center"/>
              <w:rPr>
                <w:rFonts w:cs="Times New Roman"/>
                <w:color w:val="000000"/>
                <w:sz w:val="20"/>
                <w:szCs w:val="20"/>
              </w:rPr>
            </w:pPr>
            <w:r w:rsidRPr="00092E35">
              <w:rPr>
                <w:rFonts w:eastAsia="Times New Roman" w:cs="Times New Roman"/>
                <w:color w:val="000000"/>
                <w:sz w:val="20"/>
                <w:szCs w:val="20"/>
              </w:rPr>
              <w:t>25.5%</w:t>
            </w:r>
          </w:p>
        </w:tc>
        <w:tc>
          <w:tcPr>
            <w:tcW w:w="1100" w:type="dxa"/>
            <w:tcBorders>
              <w:bottom w:val="nil"/>
            </w:tcBorders>
            <w:vAlign w:val="bottom"/>
          </w:tcPr>
          <w:p w:rsidR="003D5BDA" w:rsidRPr="003D5BDA" w:rsidRDefault="003D5BDA" w:rsidP="008E39BB">
            <w:pPr>
              <w:jc w:val="center"/>
              <w:rPr>
                <w:rFonts w:cs="Times New Roman"/>
                <w:sz w:val="20"/>
                <w:szCs w:val="20"/>
              </w:rPr>
            </w:pPr>
            <w:r w:rsidRPr="003D5BDA">
              <w:rPr>
                <w:rFonts w:eastAsia="Times New Roman" w:cs="Times New Roman"/>
                <w:color w:val="000000"/>
                <w:sz w:val="20"/>
                <w:szCs w:val="20"/>
              </w:rPr>
              <w:t>0.208</w:t>
            </w:r>
          </w:p>
        </w:tc>
        <w:tc>
          <w:tcPr>
            <w:tcW w:w="1244" w:type="dxa"/>
            <w:gridSpan w:val="2"/>
            <w:tcBorders>
              <w:bottom w:val="nil"/>
            </w:tcBorders>
            <w:vAlign w:val="center"/>
          </w:tcPr>
          <w:p w:rsidR="003D5BDA" w:rsidRPr="00092E35" w:rsidRDefault="003D5BDA" w:rsidP="008E39BB">
            <w:pPr>
              <w:jc w:val="center"/>
              <w:rPr>
                <w:rFonts w:cs="Times New Roman"/>
                <w:sz w:val="20"/>
                <w:szCs w:val="20"/>
              </w:rPr>
            </w:pPr>
            <w:r w:rsidRPr="00092E35">
              <w:rPr>
                <w:rFonts w:cs="Times New Roman"/>
                <w:sz w:val="20"/>
                <w:szCs w:val="20"/>
              </w:rPr>
              <w:t>157</w:t>
            </w:r>
          </w:p>
        </w:tc>
      </w:tr>
      <w:tr w:rsidR="008E39BB" w:rsidRPr="00092E35" w:rsidTr="00DE2A70">
        <w:trPr>
          <w:trHeight w:val="144"/>
          <w:jc w:val="center"/>
        </w:trPr>
        <w:tc>
          <w:tcPr>
            <w:tcW w:w="2160" w:type="dxa"/>
            <w:tcBorders>
              <w:bottom w:val="single" w:sz="4" w:space="0" w:color="auto"/>
            </w:tcBorders>
            <w:vAlign w:val="center"/>
          </w:tcPr>
          <w:p w:rsidR="00877535" w:rsidRDefault="00877535" w:rsidP="00DE2A70">
            <w:pPr>
              <w:jc w:val="left"/>
              <w:rPr>
                <w:rFonts w:ascii="Tahoma" w:hAnsi="Tahoma" w:cs="Times New Roman"/>
                <w:sz w:val="20"/>
                <w:szCs w:val="20"/>
              </w:rPr>
            </w:pPr>
          </w:p>
        </w:tc>
        <w:tc>
          <w:tcPr>
            <w:tcW w:w="1631" w:type="dxa"/>
            <w:tcBorders>
              <w:bottom w:val="single" w:sz="4" w:space="0" w:color="auto"/>
            </w:tcBorders>
            <w:vAlign w:val="center"/>
          </w:tcPr>
          <w:p w:rsidR="008E39BB" w:rsidRPr="00092E35" w:rsidRDefault="008E39BB" w:rsidP="008E39BB">
            <w:pPr>
              <w:pStyle w:val="ListParagraph"/>
              <w:jc w:val="center"/>
              <w:rPr>
                <w:rFonts w:cs="Times New Roman"/>
                <w:sz w:val="20"/>
                <w:szCs w:val="20"/>
              </w:rPr>
            </w:pPr>
          </w:p>
        </w:tc>
        <w:tc>
          <w:tcPr>
            <w:tcW w:w="1047" w:type="dxa"/>
            <w:tcBorders>
              <w:bottom w:val="single" w:sz="4" w:space="0" w:color="auto"/>
            </w:tcBorders>
            <w:vAlign w:val="center"/>
          </w:tcPr>
          <w:p w:rsidR="008E39BB" w:rsidRPr="00092E35" w:rsidRDefault="008E39BB" w:rsidP="008E39BB">
            <w:pPr>
              <w:jc w:val="center"/>
              <w:rPr>
                <w:rFonts w:cs="Times New Roman"/>
                <w:sz w:val="20"/>
                <w:szCs w:val="20"/>
              </w:rPr>
            </w:pPr>
          </w:p>
        </w:tc>
        <w:tc>
          <w:tcPr>
            <w:tcW w:w="1047" w:type="dxa"/>
            <w:tcBorders>
              <w:bottom w:val="single" w:sz="4" w:space="0" w:color="auto"/>
            </w:tcBorders>
            <w:vAlign w:val="center"/>
          </w:tcPr>
          <w:p w:rsidR="008E39BB" w:rsidRPr="00092E35" w:rsidRDefault="008E39BB" w:rsidP="008E39BB">
            <w:pPr>
              <w:jc w:val="center"/>
              <w:rPr>
                <w:rFonts w:cs="Times New Roman"/>
                <w:sz w:val="20"/>
                <w:szCs w:val="20"/>
              </w:rPr>
            </w:pPr>
          </w:p>
        </w:tc>
        <w:tc>
          <w:tcPr>
            <w:tcW w:w="1047" w:type="dxa"/>
            <w:tcBorders>
              <w:bottom w:val="single" w:sz="4" w:space="0" w:color="auto"/>
            </w:tcBorders>
            <w:vAlign w:val="center"/>
          </w:tcPr>
          <w:p w:rsidR="008E39BB" w:rsidRPr="00092E35" w:rsidRDefault="008E39BB" w:rsidP="008E39BB">
            <w:pPr>
              <w:jc w:val="center"/>
              <w:rPr>
                <w:rFonts w:cs="Times New Roman"/>
                <w:sz w:val="20"/>
                <w:szCs w:val="20"/>
              </w:rPr>
            </w:pPr>
          </w:p>
        </w:tc>
        <w:tc>
          <w:tcPr>
            <w:tcW w:w="1047" w:type="dxa"/>
            <w:tcBorders>
              <w:bottom w:val="single" w:sz="4" w:space="0" w:color="auto"/>
            </w:tcBorders>
            <w:vAlign w:val="center"/>
          </w:tcPr>
          <w:p w:rsidR="008E39BB" w:rsidRPr="00092E35" w:rsidRDefault="008E39BB" w:rsidP="008E39BB">
            <w:pPr>
              <w:jc w:val="center"/>
              <w:rPr>
                <w:rFonts w:cs="Times New Roman"/>
                <w:sz w:val="20"/>
                <w:szCs w:val="20"/>
              </w:rPr>
            </w:pPr>
          </w:p>
        </w:tc>
        <w:tc>
          <w:tcPr>
            <w:tcW w:w="1047" w:type="dxa"/>
            <w:tcBorders>
              <w:bottom w:val="single" w:sz="4" w:space="0" w:color="auto"/>
            </w:tcBorders>
            <w:vAlign w:val="center"/>
          </w:tcPr>
          <w:p w:rsidR="008E39BB" w:rsidRPr="00092E35" w:rsidRDefault="008E39BB" w:rsidP="008E39BB">
            <w:pPr>
              <w:jc w:val="center"/>
              <w:rPr>
                <w:rFonts w:cs="Times New Roman"/>
                <w:sz w:val="20"/>
                <w:szCs w:val="20"/>
              </w:rPr>
            </w:pPr>
          </w:p>
        </w:tc>
        <w:tc>
          <w:tcPr>
            <w:tcW w:w="1047" w:type="dxa"/>
            <w:tcBorders>
              <w:bottom w:val="single" w:sz="4" w:space="0" w:color="auto"/>
            </w:tcBorders>
            <w:vAlign w:val="center"/>
          </w:tcPr>
          <w:p w:rsidR="008E39BB" w:rsidRPr="00092E35" w:rsidRDefault="008E39BB" w:rsidP="008E39BB">
            <w:pPr>
              <w:jc w:val="center"/>
              <w:rPr>
                <w:rFonts w:cs="Times New Roman"/>
                <w:sz w:val="20"/>
                <w:szCs w:val="20"/>
              </w:rPr>
            </w:pPr>
          </w:p>
        </w:tc>
        <w:tc>
          <w:tcPr>
            <w:tcW w:w="1100" w:type="dxa"/>
            <w:tcBorders>
              <w:bottom w:val="single" w:sz="4" w:space="0" w:color="auto"/>
            </w:tcBorders>
            <w:vAlign w:val="center"/>
          </w:tcPr>
          <w:p w:rsidR="008E39BB" w:rsidRPr="00092E35" w:rsidRDefault="008E39BB" w:rsidP="008E39BB">
            <w:pPr>
              <w:jc w:val="center"/>
              <w:rPr>
                <w:rFonts w:cs="Times New Roman"/>
                <w:sz w:val="20"/>
                <w:szCs w:val="20"/>
              </w:rPr>
            </w:pPr>
          </w:p>
        </w:tc>
        <w:tc>
          <w:tcPr>
            <w:tcW w:w="1244" w:type="dxa"/>
            <w:gridSpan w:val="2"/>
            <w:tcBorders>
              <w:bottom w:val="single" w:sz="4" w:space="0" w:color="auto"/>
            </w:tcBorders>
            <w:vAlign w:val="center"/>
          </w:tcPr>
          <w:p w:rsidR="008E39BB" w:rsidRPr="00092E35" w:rsidRDefault="008E39BB" w:rsidP="008E39BB">
            <w:pPr>
              <w:jc w:val="center"/>
              <w:rPr>
                <w:rFonts w:cs="Times New Roman"/>
                <w:sz w:val="20"/>
                <w:szCs w:val="20"/>
              </w:rPr>
            </w:pPr>
          </w:p>
        </w:tc>
      </w:tr>
      <w:tr w:rsidR="008E39BB" w:rsidRPr="00092E35" w:rsidTr="00DE2A70">
        <w:trPr>
          <w:trHeight w:val="144"/>
          <w:jc w:val="center"/>
        </w:trPr>
        <w:tc>
          <w:tcPr>
            <w:tcW w:w="12417" w:type="dxa"/>
            <w:gridSpan w:val="11"/>
            <w:tcBorders>
              <w:top w:val="single" w:sz="4" w:space="0" w:color="auto"/>
              <w:bottom w:val="single" w:sz="4" w:space="0" w:color="auto"/>
            </w:tcBorders>
            <w:vAlign w:val="center"/>
          </w:tcPr>
          <w:p w:rsidR="008E39BB" w:rsidRPr="00092E35" w:rsidRDefault="009D2579" w:rsidP="009D2579">
            <w:pPr>
              <w:jc w:val="center"/>
              <w:rPr>
                <w:rFonts w:cs="Times New Roman"/>
                <w:sz w:val="20"/>
                <w:szCs w:val="20"/>
              </w:rPr>
            </w:pPr>
            <w:r>
              <w:rPr>
                <w:rFonts w:cs="Times New Roman"/>
                <w:sz w:val="20"/>
                <w:szCs w:val="20"/>
              </w:rPr>
              <w:t xml:space="preserve">Panel </w:t>
            </w:r>
            <w:r w:rsidR="008E39BB" w:rsidRPr="00092E35">
              <w:rPr>
                <w:rFonts w:cs="Times New Roman"/>
                <w:sz w:val="20"/>
                <w:szCs w:val="20"/>
              </w:rPr>
              <w:t>B. Market Leverage</w:t>
            </w:r>
          </w:p>
        </w:tc>
      </w:tr>
      <w:tr w:rsidR="008E39BB" w:rsidRPr="00092E35" w:rsidTr="00DE2A70">
        <w:trPr>
          <w:trHeight w:val="144"/>
          <w:jc w:val="center"/>
        </w:trPr>
        <w:tc>
          <w:tcPr>
            <w:tcW w:w="2160" w:type="dxa"/>
            <w:tcBorders>
              <w:top w:val="single" w:sz="4" w:space="0" w:color="auto"/>
            </w:tcBorders>
            <w:vAlign w:val="center"/>
          </w:tcPr>
          <w:p w:rsidR="00877535" w:rsidRDefault="008E39BB" w:rsidP="00DE2A70">
            <w:pPr>
              <w:jc w:val="left"/>
              <w:rPr>
                <w:rFonts w:cs="Times New Roman"/>
                <w:sz w:val="20"/>
                <w:szCs w:val="20"/>
              </w:rPr>
            </w:pPr>
            <w:r w:rsidRPr="00092E35">
              <w:rPr>
                <w:rFonts w:cs="Times New Roman"/>
                <w:sz w:val="20"/>
                <w:szCs w:val="20"/>
              </w:rPr>
              <w:t>20-plus</w:t>
            </w:r>
          </w:p>
        </w:tc>
        <w:tc>
          <w:tcPr>
            <w:tcW w:w="1631" w:type="dxa"/>
            <w:tcBorders>
              <w:top w:val="single" w:sz="4" w:space="0" w:color="auto"/>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0.536</w:t>
            </w:r>
          </w:p>
        </w:tc>
        <w:tc>
          <w:tcPr>
            <w:tcW w:w="1047" w:type="dxa"/>
            <w:tcBorders>
              <w:top w:val="single" w:sz="4" w:space="0" w:color="auto"/>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3.5%</w:t>
            </w:r>
          </w:p>
        </w:tc>
        <w:tc>
          <w:tcPr>
            <w:tcW w:w="1047" w:type="dxa"/>
            <w:tcBorders>
              <w:top w:val="single" w:sz="4" w:space="0" w:color="auto"/>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5.3%</w:t>
            </w:r>
          </w:p>
        </w:tc>
        <w:tc>
          <w:tcPr>
            <w:tcW w:w="1047" w:type="dxa"/>
            <w:tcBorders>
              <w:top w:val="single" w:sz="4" w:space="0" w:color="auto"/>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8.0%</w:t>
            </w:r>
          </w:p>
        </w:tc>
        <w:tc>
          <w:tcPr>
            <w:tcW w:w="1047" w:type="dxa"/>
            <w:tcBorders>
              <w:top w:val="single" w:sz="4" w:space="0" w:color="auto"/>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12.4%</w:t>
            </w:r>
          </w:p>
        </w:tc>
        <w:tc>
          <w:tcPr>
            <w:tcW w:w="1047" w:type="dxa"/>
            <w:tcBorders>
              <w:top w:val="single" w:sz="4" w:space="0" w:color="auto"/>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15.4%</w:t>
            </w:r>
          </w:p>
        </w:tc>
        <w:tc>
          <w:tcPr>
            <w:tcW w:w="1047" w:type="dxa"/>
            <w:tcBorders>
              <w:top w:val="single" w:sz="4" w:space="0" w:color="auto"/>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55.4%</w:t>
            </w:r>
          </w:p>
        </w:tc>
        <w:tc>
          <w:tcPr>
            <w:tcW w:w="1100" w:type="dxa"/>
            <w:tcBorders>
              <w:top w:val="single" w:sz="4" w:space="0" w:color="auto"/>
            </w:tcBorders>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0.221</w:t>
            </w:r>
          </w:p>
        </w:tc>
        <w:tc>
          <w:tcPr>
            <w:tcW w:w="1244" w:type="dxa"/>
            <w:gridSpan w:val="2"/>
            <w:tcBorders>
              <w:top w:val="single" w:sz="4" w:space="0" w:color="auto"/>
            </w:tcBorders>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2751</w:t>
            </w:r>
          </w:p>
        </w:tc>
      </w:tr>
      <w:tr w:rsidR="008E39BB" w:rsidRPr="00092E35" w:rsidTr="008E39BB">
        <w:trPr>
          <w:trHeight w:val="144"/>
          <w:jc w:val="center"/>
        </w:trPr>
        <w:tc>
          <w:tcPr>
            <w:tcW w:w="2160" w:type="dxa"/>
            <w:vAlign w:val="center"/>
          </w:tcPr>
          <w:p w:rsidR="00877535" w:rsidRDefault="008E39BB" w:rsidP="00DE2A70">
            <w:pPr>
              <w:jc w:val="left"/>
              <w:rPr>
                <w:rFonts w:cs="Times New Roman"/>
                <w:sz w:val="20"/>
                <w:szCs w:val="20"/>
              </w:rPr>
            </w:pPr>
            <w:r w:rsidRPr="00092E35">
              <w:rPr>
                <w:rFonts w:cs="Times New Roman"/>
                <w:sz w:val="20"/>
                <w:szCs w:val="20"/>
              </w:rPr>
              <w:t>15 to 19</w:t>
            </w:r>
          </w:p>
        </w:tc>
        <w:tc>
          <w:tcPr>
            <w:tcW w:w="1631"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0.462</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9.1%</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8.1%</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10.5%</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13.6%</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14.9%</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43.8%</w:t>
            </w:r>
          </w:p>
        </w:tc>
        <w:tc>
          <w:tcPr>
            <w:tcW w:w="1100" w:type="dxa"/>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0.167</w:t>
            </w:r>
          </w:p>
        </w:tc>
        <w:tc>
          <w:tcPr>
            <w:tcW w:w="1244" w:type="dxa"/>
            <w:gridSpan w:val="2"/>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1514</w:t>
            </w:r>
          </w:p>
        </w:tc>
      </w:tr>
      <w:tr w:rsidR="008E39BB" w:rsidRPr="00092E35" w:rsidTr="008E39BB">
        <w:trPr>
          <w:trHeight w:val="144"/>
          <w:jc w:val="center"/>
        </w:trPr>
        <w:tc>
          <w:tcPr>
            <w:tcW w:w="2160" w:type="dxa"/>
            <w:vAlign w:val="center"/>
          </w:tcPr>
          <w:p w:rsidR="00877535" w:rsidRDefault="008E39BB" w:rsidP="00DE2A70">
            <w:pPr>
              <w:jc w:val="left"/>
              <w:rPr>
                <w:rFonts w:cs="Times New Roman"/>
                <w:sz w:val="20"/>
                <w:szCs w:val="20"/>
              </w:rPr>
            </w:pPr>
            <w:r w:rsidRPr="00092E35">
              <w:rPr>
                <w:rFonts w:cs="Times New Roman"/>
                <w:sz w:val="20"/>
                <w:szCs w:val="20"/>
              </w:rPr>
              <w:t>10 to 14</w:t>
            </w:r>
          </w:p>
        </w:tc>
        <w:tc>
          <w:tcPr>
            <w:tcW w:w="1631"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0.393</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14.3%</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10.9%</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12.3%</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13.7%</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12.7%</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36.2%</w:t>
            </w:r>
          </w:p>
        </w:tc>
        <w:tc>
          <w:tcPr>
            <w:tcW w:w="1100" w:type="dxa"/>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0.159</w:t>
            </w:r>
          </w:p>
        </w:tc>
        <w:tc>
          <w:tcPr>
            <w:tcW w:w="1244" w:type="dxa"/>
            <w:gridSpan w:val="2"/>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2408</w:t>
            </w:r>
          </w:p>
        </w:tc>
      </w:tr>
      <w:tr w:rsidR="008E39BB" w:rsidRPr="00092E35" w:rsidTr="008E39BB">
        <w:trPr>
          <w:trHeight w:val="144"/>
          <w:jc w:val="center"/>
        </w:trPr>
        <w:tc>
          <w:tcPr>
            <w:tcW w:w="2160" w:type="dxa"/>
            <w:vAlign w:val="center"/>
          </w:tcPr>
          <w:p w:rsidR="00877535" w:rsidRDefault="008E39BB" w:rsidP="00DE2A70">
            <w:pPr>
              <w:jc w:val="left"/>
              <w:rPr>
                <w:rFonts w:cs="Times New Roman"/>
                <w:sz w:val="20"/>
                <w:szCs w:val="20"/>
              </w:rPr>
            </w:pPr>
            <w:r w:rsidRPr="00092E35">
              <w:rPr>
                <w:rFonts w:cs="Times New Roman"/>
                <w:sz w:val="20"/>
                <w:szCs w:val="20"/>
              </w:rPr>
              <w:t>5 to 9</w:t>
            </w:r>
          </w:p>
        </w:tc>
        <w:tc>
          <w:tcPr>
            <w:tcW w:w="1631"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0.294</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23.5%</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14.3%</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13.1%</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13.3%</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11.5%</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24.4%</w:t>
            </w:r>
          </w:p>
        </w:tc>
        <w:tc>
          <w:tcPr>
            <w:tcW w:w="1100" w:type="dxa"/>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0.128</w:t>
            </w:r>
          </w:p>
        </w:tc>
        <w:tc>
          <w:tcPr>
            <w:tcW w:w="1244" w:type="dxa"/>
            <w:gridSpan w:val="2"/>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3740</w:t>
            </w:r>
          </w:p>
        </w:tc>
      </w:tr>
      <w:tr w:rsidR="008E39BB" w:rsidRPr="00092E35" w:rsidTr="008E39BB">
        <w:trPr>
          <w:trHeight w:val="144"/>
          <w:jc w:val="center"/>
        </w:trPr>
        <w:tc>
          <w:tcPr>
            <w:tcW w:w="2160" w:type="dxa"/>
            <w:vAlign w:val="center"/>
          </w:tcPr>
          <w:p w:rsidR="00877535" w:rsidRDefault="008E39BB" w:rsidP="00DE2A70">
            <w:pPr>
              <w:jc w:val="left"/>
              <w:rPr>
                <w:rFonts w:cs="Times New Roman"/>
                <w:sz w:val="20"/>
                <w:szCs w:val="20"/>
              </w:rPr>
            </w:pPr>
            <w:r w:rsidRPr="00092E35">
              <w:rPr>
                <w:rFonts w:cs="Times New Roman"/>
                <w:sz w:val="20"/>
                <w:szCs w:val="20"/>
              </w:rPr>
              <w:t>2 to 4</w:t>
            </w:r>
          </w:p>
        </w:tc>
        <w:tc>
          <w:tcPr>
            <w:tcW w:w="1631"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0.117</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46.9%</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16.7%</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12.7%</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8.3%</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6.0%</w:t>
            </w:r>
          </w:p>
        </w:tc>
        <w:tc>
          <w:tcPr>
            <w:tcW w:w="1047" w:type="dxa"/>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9.4%</w:t>
            </w:r>
          </w:p>
        </w:tc>
        <w:tc>
          <w:tcPr>
            <w:tcW w:w="1100" w:type="dxa"/>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bCs/>
                <w:color w:val="000000"/>
                <w:sz w:val="20"/>
                <w:szCs w:val="20"/>
              </w:rPr>
              <w:t>0.09</w:t>
            </w:r>
            <w:r>
              <w:rPr>
                <w:rFonts w:eastAsia="Times New Roman" w:cs="Times New Roman"/>
                <w:bCs/>
                <w:color w:val="000000"/>
                <w:sz w:val="20"/>
                <w:szCs w:val="20"/>
              </w:rPr>
              <w:t>8</w:t>
            </w:r>
          </w:p>
        </w:tc>
        <w:tc>
          <w:tcPr>
            <w:tcW w:w="1244" w:type="dxa"/>
            <w:gridSpan w:val="2"/>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3779</w:t>
            </w:r>
          </w:p>
        </w:tc>
      </w:tr>
      <w:tr w:rsidR="008E39BB" w:rsidRPr="00092E35" w:rsidTr="008E39BB">
        <w:trPr>
          <w:trHeight w:val="144"/>
          <w:jc w:val="center"/>
        </w:trPr>
        <w:tc>
          <w:tcPr>
            <w:tcW w:w="2160" w:type="dxa"/>
            <w:tcBorders>
              <w:bottom w:val="nil"/>
            </w:tcBorders>
            <w:vAlign w:val="center"/>
          </w:tcPr>
          <w:p w:rsidR="00877535" w:rsidRDefault="008E39BB" w:rsidP="00DE2A70">
            <w:pPr>
              <w:jc w:val="left"/>
              <w:rPr>
                <w:rFonts w:cs="Times New Roman"/>
                <w:sz w:val="20"/>
                <w:szCs w:val="20"/>
              </w:rPr>
            </w:pPr>
            <w:r w:rsidRPr="00092E35">
              <w:rPr>
                <w:rFonts w:cs="Times New Roman"/>
                <w:sz w:val="20"/>
                <w:szCs w:val="20"/>
              </w:rPr>
              <w:t>1</w:t>
            </w:r>
          </w:p>
        </w:tc>
        <w:tc>
          <w:tcPr>
            <w:tcW w:w="1631" w:type="dxa"/>
            <w:tcBorders>
              <w:bottom w:val="nil"/>
            </w:tcBorders>
            <w:vAlign w:val="center"/>
          </w:tcPr>
          <w:p w:rsidR="008E39BB" w:rsidRPr="00092E35" w:rsidRDefault="008E39BB" w:rsidP="008E39BB">
            <w:pPr>
              <w:pStyle w:val="ListParagraph"/>
              <w:jc w:val="left"/>
              <w:rPr>
                <w:rFonts w:cs="Times New Roman"/>
                <w:sz w:val="20"/>
                <w:szCs w:val="20"/>
              </w:rPr>
            </w:pPr>
            <w:r w:rsidRPr="00092E35">
              <w:rPr>
                <w:rFonts w:eastAsia="Times New Roman" w:cs="Times New Roman"/>
                <w:color w:val="000000"/>
                <w:sz w:val="20"/>
                <w:szCs w:val="20"/>
              </w:rPr>
              <w:t>---</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100" w:type="dxa"/>
            <w:tcBorders>
              <w:bottom w:val="nil"/>
            </w:tcBorders>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0.076</w:t>
            </w:r>
          </w:p>
        </w:tc>
        <w:tc>
          <w:tcPr>
            <w:tcW w:w="1244" w:type="dxa"/>
            <w:gridSpan w:val="2"/>
            <w:tcBorders>
              <w:bottom w:val="nil"/>
            </w:tcBorders>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904</w:t>
            </w:r>
          </w:p>
        </w:tc>
      </w:tr>
      <w:tr w:rsidR="008E39BB" w:rsidRPr="00092E35" w:rsidTr="008E39BB">
        <w:trPr>
          <w:trHeight w:val="144"/>
          <w:jc w:val="center"/>
        </w:trPr>
        <w:tc>
          <w:tcPr>
            <w:tcW w:w="2160" w:type="dxa"/>
            <w:tcBorders>
              <w:bottom w:val="nil"/>
            </w:tcBorders>
            <w:vAlign w:val="center"/>
          </w:tcPr>
          <w:p w:rsidR="00877535" w:rsidRDefault="009D2579" w:rsidP="00DE2A70">
            <w:pPr>
              <w:jc w:val="left"/>
              <w:rPr>
                <w:rFonts w:cs="Times New Roman"/>
                <w:sz w:val="20"/>
                <w:szCs w:val="20"/>
              </w:rPr>
            </w:pPr>
            <w:r>
              <w:rPr>
                <w:rFonts w:cs="Times New Roman"/>
                <w:sz w:val="20"/>
                <w:szCs w:val="20"/>
              </w:rPr>
              <w:t>Constant-comp</w:t>
            </w:r>
            <w:r w:rsidR="008E39BB" w:rsidRPr="00092E35">
              <w:rPr>
                <w:rFonts w:cs="Times New Roman"/>
                <w:sz w:val="20"/>
                <w:szCs w:val="20"/>
              </w:rPr>
              <w:t xml:space="preserve"> sample</w:t>
            </w:r>
          </w:p>
        </w:tc>
        <w:tc>
          <w:tcPr>
            <w:tcW w:w="1631"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0.507</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0.6%</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4.5%</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10.2%</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14.7%</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19.1%</w:t>
            </w:r>
          </w:p>
        </w:tc>
        <w:tc>
          <w:tcPr>
            <w:tcW w:w="1047" w:type="dxa"/>
            <w:tcBorders>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51.0%</w:t>
            </w:r>
          </w:p>
        </w:tc>
        <w:tc>
          <w:tcPr>
            <w:tcW w:w="1100" w:type="dxa"/>
            <w:tcBorders>
              <w:bottom w:val="nil"/>
            </w:tcBorders>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0.219</w:t>
            </w:r>
          </w:p>
        </w:tc>
        <w:tc>
          <w:tcPr>
            <w:tcW w:w="1244" w:type="dxa"/>
            <w:gridSpan w:val="2"/>
            <w:tcBorders>
              <w:bottom w:val="nil"/>
            </w:tcBorders>
            <w:vAlign w:val="center"/>
          </w:tcPr>
          <w:p w:rsidR="008E39BB" w:rsidRPr="00092E35" w:rsidRDefault="008E39BB" w:rsidP="008E39BB">
            <w:pPr>
              <w:jc w:val="center"/>
              <w:rPr>
                <w:rFonts w:cs="Times New Roman"/>
                <w:sz w:val="20"/>
                <w:szCs w:val="20"/>
              </w:rPr>
            </w:pPr>
            <w:r w:rsidRPr="00092E35">
              <w:rPr>
                <w:rFonts w:cs="Times New Roman"/>
                <w:sz w:val="20"/>
                <w:szCs w:val="20"/>
              </w:rPr>
              <w:t>157</w:t>
            </w:r>
          </w:p>
        </w:tc>
      </w:tr>
      <w:tr w:rsidR="008E39BB" w:rsidRPr="00092E35" w:rsidTr="00DE2A70">
        <w:trPr>
          <w:trHeight w:val="144"/>
          <w:jc w:val="center"/>
        </w:trPr>
        <w:tc>
          <w:tcPr>
            <w:tcW w:w="2160" w:type="dxa"/>
            <w:tcBorders>
              <w:top w:val="nil"/>
              <w:bottom w:val="single" w:sz="4" w:space="0" w:color="auto"/>
            </w:tcBorders>
            <w:vAlign w:val="center"/>
          </w:tcPr>
          <w:p w:rsidR="00877535" w:rsidRDefault="00877535" w:rsidP="00DE2A70">
            <w:pPr>
              <w:jc w:val="left"/>
              <w:rPr>
                <w:rFonts w:ascii="Tahoma" w:hAnsi="Tahoma" w:cs="Times New Roman"/>
                <w:sz w:val="20"/>
                <w:szCs w:val="20"/>
              </w:rPr>
            </w:pPr>
          </w:p>
        </w:tc>
        <w:tc>
          <w:tcPr>
            <w:tcW w:w="1631" w:type="dxa"/>
            <w:tcBorders>
              <w:top w:val="nil"/>
              <w:bottom w:val="single" w:sz="4" w:space="0" w:color="auto"/>
            </w:tcBorders>
            <w:vAlign w:val="center"/>
          </w:tcPr>
          <w:p w:rsidR="008E39BB" w:rsidRPr="00092E35" w:rsidRDefault="008E39BB" w:rsidP="008E39BB">
            <w:pPr>
              <w:pStyle w:val="ListParagraph"/>
              <w:rPr>
                <w:rFonts w:cs="Times New Roman"/>
                <w:sz w:val="20"/>
                <w:szCs w:val="20"/>
              </w:rPr>
            </w:pP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p>
        </w:tc>
        <w:tc>
          <w:tcPr>
            <w:tcW w:w="1100" w:type="dxa"/>
            <w:tcBorders>
              <w:top w:val="nil"/>
              <w:bottom w:val="single" w:sz="4" w:space="0" w:color="auto"/>
            </w:tcBorders>
            <w:vAlign w:val="center"/>
          </w:tcPr>
          <w:p w:rsidR="008E39BB" w:rsidRPr="00944811" w:rsidRDefault="008E39BB" w:rsidP="008E39BB">
            <w:pPr>
              <w:jc w:val="center"/>
              <w:rPr>
                <w:rFonts w:cs="Times New Roman"/>
                <w:sz w:val="20"/>
                <w:szCs w:val="20"/>
              </w:rPr>
            </w:pPr>
          </w:p>
        </w:tc>
        <w:tc>
          <w:tcPr>
            <w:tcW w:w="1244" w:type="dxa"/>
            <w:gridSpan w:val="2"/>
            <w:tcBorders>
              <w:top w:val="nil"/>
              <w:bottom w:val="single" w:sz="4" w:space="0" w:color="auto"/>
            </w:tcBorders>
            <w:vAlign w:val="center"/>
          </w:tcPr>
          <w:p w:rsidR="008E39BB" w:rsidRPr="00092E35" w:rsidRDefault="008E39BB" w:rsidP="008E39BB">
            <w:pPr>
              <w:jc w:val="center"/>
              <w:rPr>
                <w:rFonts w:cs="Times New Roman"/>
                <w:sz w:val="20"/>
                <w:szCs w:val="20"/>
              </w:rPr>
            </w:pPr>
          </w:p>
        </w:tc>
      </w:tr>
      <w:tr w:rsidR="008E39BB" w:rsidRPr="00092E35" w:rsidTr="00DE2A70">
        <w:trPr>
          <w:trHeight w:val="144"/>
          <w:jc w:val="center"/>
        </w:trPr>
        <w:tc>
          <w:tcPr>
            <w:tcW w:w="12417" w:type="dxa"/>
            <w:gridSpan w:val="11"/>
            <w:tcBorders>
              <w:top w:val="single" w:sz="4" w:space="0" w:color="auto"/>
              <w:bottom w:val="single" w:sz="4" w:space="0" w:color="auto"/>
            </w:tcBorders>
            <w:vAlign w:val="center"/>
          </w:tcPr>
          <w:p w:rsidR="008E39BB" w:rsidRPr="00944811" w:rsidRDefault="009D2579" w:rsidP="009D2579">
            <w:pPr>
              <w:jc w:val="center"/>
              <w:rPr>
                <w:rFonts w:cs="Times New Roman"/>
                <w:sz w:val="20"/>
                <w:szCs w:val="20"/>
              </w:rPr>
            </w:pPr>
            <w:r>
              <w:rPr>
                <w:rFonts w:cs="Times New Roman"/>
                <w:sz w:val="20"/>
                <w:szCs w:val="20"/>
              </w:rPr>
              <w:t xml:space="preserve">Panel </w:t>
            </w:r>
            <w:r w:rsidR="008E39BB" w:rsidRPr="00944811">
              <w:rPr>
                <w:rFonts w:cs="Times New Roman"/>
                <w:sz w:val="20"/>
                <w:szCs w:val="20"/>
              </w:rPr>
              <w:t>C. NetDebt Ratio</w:t>
            </w:r>
          </w:p>
        </w:tc>
      </w:tr>
      <w:tr w:rsidR="008E39BB" w:rsidRPr="00092E35" w:rsidTr="00DE2A70">
        <w:trPr>
          <w:trHeight w:val="144"/>
          <w:jc w:val="center"/>
        </w:trPr>
        <w:tc>
          <w:tcPr>
            <w:tcW w:w="2160" w:type="dxa"/>
            <w:tcBorders>
              <w:top w:val="single" w:sz="4" w:space="0" w:color="auto"/>
              <w:bottom w:val="nil"/>
            </w:tcBorders>
            <w:vAlign w:val="center"/>
          </w:tcPr>
          <w:p w:rsidR="00877535" w:rsidRDefault="008E39BB" w:rsidP="00DE2A70">
            <w:pPr>
              <w:jc w:val="left"/>
              <w:rPr>
                <w:rFonts w:cs="Times New Roman"/>
                <w:sz w:val="20"/>
                <w:szCs w:val="20"/>
              </w:rPr>
            </w:pPr>
            <w:r w:rsidRPr="00092E35">
              <w:rPr>
                <w:rFonts w:cs="Times New Roman"/>
                <w:sz w:val="20"/>
                <w:szCs w:val="20"/>
              </w:rPr>
              <w:t>20-plus</w:t>
            </w:r>
          </w:p>
        </w:tc>
        <w:tc>
          <w:tcPr>
            <w:tcW w:w="1631" w:type="dxa"/>
            <w:tcBorders>
              <w:top w:val="single" w:sz="4" w:space="0" w:color="auto"/>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0.599</w:t>
            </w:r>
          </w:p>
        </w:tc>
        <w:tc>
          <w:tcPr>
            <w:tcW w:w="1047" w:type="dxa"/>
            <w:tcBorders>
              <w:top w:val="single" w:sz="4" w:space="0" w:color="auto"/>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0.0%</w:t>
            </w:r>
          </w:p>
        </w:tc>
        <w:tc>
          <w:tcPr>
            <w:tcW w:w="1047" w:type="dxa"/>
            <w:tcBorders>
              <w:top w:val="single" w:sz="4" w:space="0" w:color="auto"/>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1.0%</w:t>
            </w:r>
          </w:p>
        </w:tc>
        <w:tc>
          <w:tcPr>
            <w:tcW w:w="1047" w:type="dxa"/>
            <w:tcBorders>
              <w:top w:val="single" w:sz="4" w:space="0" w:color="auto"/>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5.4%</w:t>
            </w:r>
          </w:p>
        </w:tc>
        <w:tc>
          <w:tcPr>
            <w:tcW w:w="1047" w:type="dxa"/>
            <w:tcBorders>
              <w:top w:val="single" w:sz="4" w:space="0" w:color="auto"/>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12.3%</w:t>
            </w:r>
          </w:p>
        </w:tc>
        <w:tc>
          <w:tcPr>
            <w:tcW w:w="1047" w:type="dxa"/>
            <w:tcBorders>
              <w:top w:val="single" w:sz="4" w:space="0" w:color="auto"/>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15.5%</w:t>
            </w:r>
          </w:p>
        </w:tc>
        <w:tc>
          <w:tcPr>
            <w:tcW w:w="1047" w:type="dxa"/>
            <w:tcBorders>
              <w:top w:val="single" w:sz="4" w:space="0" w:color="auto"/>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65.9%</w:t>
            </w:r>
          </w:p>
        </w:tc>
        <w:tc>
          <w:tcPr>
            <w:tcW w:w="1100" w:type="dxa"/>
            <w:tcBorders>
              <w:top w:val="single" w:sz="4" w:space="0" w:color="auto"/>
              <w:bottom w:val="nil"/>
            </w:tcBorders>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0.135</w:t>
            </w:r>
          </w:p>
        </w:tc>
        <w:tc>
          <w:tcPr>
            <w:tcW w:w="1244" w:type="dxa"/>
            <w:gridSpan w:val="2"/>
            <w:tcBorders>
              <w:top w:val="single" w:sz="4" w:space="0" w:color="auto"/>
              <w:bottom w:val="nil"/>
            </w:tcBorders>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2751</w:t>
            </w:r>
          </w:p>
        </w:tc>
      </w:tr>
      <w:tr w:rsidR="008E39BB" w:rsidRPr="00092E35" w:rsidTr="008E39BB">
        <w:trPr>
          <w:trHeight w:val="144"/>
          <w:jc w:val="center"/>
        </w:trPr>
        <w:tc>
          <w:tcPr>
            <w:tcW w:w="2160" w:type="dxa"/>
            <w:tcBorders>
              <w:top w:val="nil"/>
              <w:bottom w:val="nil"/>
            </w:tcBorders>
            <w:vAlign w:val="center"/>
          </w:tcPr>
          <w:p w:rsidR="00877535" w:rsidRDefault="008E39BB" w:rsidP="00DE2A70">
            <w:pPr>
              <w:jc w:val="left"/>
              <w:rPr>
                <w:rFonts w:cs="Times New Roman"/>
                <w:sz w:val="20"/>
                <w:szCs w:val="20"/>
              </w:rPr>
            </w:pPr>
            <w:r w:rsidRPr="00092E35">
              <w:rPr>
                <w:rFonts w:cs="Times New Roman"/>
                <w:sz w:val="20"/>
                <w:szCs w:val="20"/>
              </w:rPr>
              <w:t>15 to 19</w:t>
            </w:r>
          </w:p>
        </w:tc>
        <w:tc>
          <w:tcPr>
            <w:tcW w:w="1631"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0.574</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0.3%</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2.5%</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9.1%</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12.5%</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15.1%</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60.4%</w:t>
            </w:r>
          </w:p>
        </w:tc>
        <w:tc>
          <w:tcPr>
            <w:tcW w:w="1100" w:type="dxa"/>
            <w:tcBorders>
              <w:top w:val="nil"/>
              <w:bottom w:val="nil"/>
            </w:tcBorders>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0.098</w:t>
            </w:r>
          </w:p>
        </w:tc>
        <w:tc>
          <w:tcPr>
            <w:tcW w:w="1244" w:type="dxa"/>
            <w:gridSpan w:val="2"/>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1514</w:t>
            </w:r>
          </w:p>
        </w:tc>
      </w:tr>
      <w:tr w:rsidR="008E39BB" w:rsidRPr="00092E35" w:rsidTr="008E39BB">
        <w:trPr>
          <w:trHeight w:val="144"/>
          <w:jc w:val="center"/>
        </w:trPr>
        <w:tc>
          <w:tcPr>
            <w:tcW w:w="2160" w:type="dxa"/>
            <w:tcBorders>
              <w:top w:val="nil"/>
              <w:bottom w:val="nil"/>
            </w:tcBorders>
            <w:vAlign w:val="center"/>
          </w:tcPr>
          <w:p w:rsidR="00877535" w:rsidRDefault="008E39BB" w:rsidP="00DE2A70">
            <w:pPr>
              <w:jc w:val="left"/>
              <w:rPr>
                <w:rFonts w:cs="Times New Roman"/>
                <w:sz w:val="20"/>
                <w:szCs w:val="20"/>
              </w:rPr>
            </w:pPr>
            <w:r w:rsidRPr="00092E35">
              <w:rPr>
                <w:rFonts w:cs="Times New Roman"/>
                <w:sz w:val="20"/>
                <w:szCs w:val="20"/>
              </w:rPr>
              <w:t>10 to 14</w:t>
            </w:r>
          </w:p>
        </w:tc>
        <w:tc>
          <w:tcPr>
            <w:tcW w:w="1631"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0.527</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0.4%</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5.2%</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12.6%</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14.6%</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13.9%</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53.4%</w:t>
            </w:r>
          </w:p>
        </w:tc>
        <w:tc>
          <w:tcPr>
            <w:tcW w:w="1100" w:type="dxa"/>
            <w:tcBorders>
              <w:top w:val="nil"/>
              <w:bottom w:val="nil"/>
            </w:tcBorders>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0.086</w:t>
            </w:r>
          </w:p>
        </w:tc>
        <w:tc>
          <w:tcPr>
            <w:tcW w:w="1244" w:type="dxa"/>
            <w:gridSpan w:val="2"/>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2408</w:t>
            </w:r>
          </w:p>
        </w:tc>
      </w:tr>
      <w:tr w:rsidR="008E39BB" w:rsidRPr="00092E35" w:rsidTr="008E39BB">
        <w:trPr>
          <w:trHeight w:val="144"/>
          <w:jc w:val="center"/>
        </w:trPr>
        <w:tc>
          <w:tcPr>
            <w:tcW w:w="2160" w:type="dxa"/>
            <w:tcBorders>
              <w:top w:val="nil"/>
              <w:bottom w:val="nil"/>
            </w:tcBorders>
            <w:vAlign w:val="center"/>
          </w:tcPr>
          <w:p w:rsidR="00877535" w:rsidRDefault="008E39BB" w:rsidP="00DE2A70">
            <w:pPr>
              <w:jc w:val="left"/>
              <w:rPr>
                <w:rFonts w:cs="Times New Roman"/>
                <w:sz w:val="20"/>
                <w:szCs w:val="20"/>
              </w:rPr>
            </w:pPr>
            <w:r w:rsidRPr="00092E35">
              <w:rPr>
                <w:rFonts w:cs="Times New Roman"/>
                <w:sz w:val="20"/>
                <w:szCs w:val="20"/>
              </w:rPr>
              <w:t>5 to 9</w:t>
            </w:r>
          </w:p>
        </w:tc>
        <w:tc>
          <w:tcPr>
            <w:tcW w:w="1631"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0.424</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2.8%</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11.6%</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15.8%</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16.0%</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13.5%</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40.3%</w:t>
            </w:r>
          </w:p>
        </w:tc>
        <w:tc>
          <w:tcPr>
            <w:tcW w:w="1100" w:type="dxa"/>
            <w:tcBorders>
              <w:top w:val="nil"/>
              <w:bottom w:val="nil"/>
            </w:tcBorders>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0.071</w:t>
            </w:r>
          </w:p>
        </w:tc>
        <w:tc>
          <w:tcPr>
            <w:tcW w:w="1244" w:type="dxa"/>
            <w:gridSpan w:val="2"/>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3740</w:t>
            </w:r>
          </w:p>
        </w:tc>
      </w:tr>
      <w:tr w:rsidR="008E39BB" w:rsidRPr="00092E35" w:rsidTr="008E39BB">
        <w:trPr>
          <w:trHeight w:val="144"/>
          <w:jc w:val="center"/>
        </w:trPr>
        <w:tc>
          <w:tcPr>
            <w:tcW w:w="2160" w:type="dxa"/>
            <w:tcBorders>
              <w:top w:val="nil"/>
              <w:bottom w:val="nil"/>
            </w:tcBorders>
            <w:vAlign w:val="center"/>
          </w:tcPr>
          <w:p w:rsidR="00877535" w:rsidRDefault="008E39BB" w:rsidP="00DE2A70">
            <w:pPr>
              <w:jc w:val="left"/>
              <w:rPr>
                <w:rFonts w:cs="Times New Roman"/>
                <w:sz w:val="20"/>
                <w:szCs w:val="20"/>
              </w:rPr>
            </w:pPr>
            <w:r w:rsidRPr="00092E35">
              <w:rPr>
                <w:rFonts w:cs="Times New Roman"/>
                <w:sz w:val="20"/>
                <w:szCs w:val="20"/>
              </w:rPr>
              <w:t>2 to 4</w:t>
            </w:r>
          </w:p>
        </w:tc>
        <w:tc>
          <w:tcPr>
            <w:tcW w:w="1631"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0.250</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21.9%</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20.4%</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15.0%</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12.1%</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8.7%</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21.9%</w:t>
            </w:r>
          </w:p>
        </w:tc>
        <w:tc>
          <w:tcPr>
            <w:tcW w:w="1100" w:type="dxa"/>
            <w:tcBorders>
              <w:top w:val="nil"/>
              <w:bottom w:val="nil"/>
            </w:tcBorders>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0.038</w:t>
            </w:r>
          </w:p>
        </w:tc>
        <w:tc>
          <w:tcPr>
            <w:tcW w:w="1244" w:type="dxa"/>
            <w:gridSpan w:val="2"/>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3779</w:t>
            </w:r>
          </w:p>
        </w:tc>
      </w:tr>
      <w:tr w:rsidR="008E39BB" w:rsidRPr="00092E35" w:rsidTr="008E39BB">
        <w:trPr>
          <w:trHeight w:val="144"/>
          <w:jc w:val="center"/>
        </w:trPr>
        <w:tc>
          <w:tcPr>
            <w:tcW w:w="2160" w:type="dxa"/>
            <w:tcBorders>
              <w:top w:val="nil"/>
              <w:bottom w:val="nil"/>
            </w:tcBorders>
            <w:vAlign w:val="center"/>
          </w:tcPr>
          <w:p w:rsidR="00877535" w:rsidRDefault="008E39BB" w:rsidP="00DE2A70">
            <w:pPr>
              <w:jc w:val="left"/>
              <w:rPr>
                <w:rFonts w:cs="Times New Roman"/>
                <w:sz w:val="20"/>
                <w:szCs w:val="20"/>
              </w:rPr>
            </w:pPr>
            <w:r w:rsidRPr="00092E35">
              <w:rPr>
                <w:rFonts w:cs="Times New Roman"/>
                <w:sz w:val="20"/>
                <w:szCs w:val="20"/>
              </w:rPr>
              <w:t>1</w:t>
            </w:r>
          </w:p>
        </w:tc>
        <w:tc>
          <w:tcPr>
            <w:tcW w:w="1631" w:type="dxa"/>
            <w:tcBorders>
              <w:top w:val="nil"/>
              <w:bottom w:val="nil"/>
            </w:tcBorders>
            <w:vAlign w:val="center"/>
          </w:tcPr>
          <w:p w:rsidR="008E39BB" w:rsidRPr="00092E35" w:rsidRDefault="008E39BB" w:rsidP="008E39BB">
            <w:pPr>
              <w:pStyle w:val="ListParagraph"/>
              <w:jc w:val="left"/>
              <w:rPr>
                <w:rFonts w:cs="Times New Roman"/>
                <w:sz w:val="20"/>
                <w:szCs w:val="20"/>
              </w:rPr>
            </w:pPr>
            <w:r w:rsidRPr="00092E35">
              <w:rPr>
                <w:rFonts w:eastAsia="Times New Roman" w:cs="Times New Roman"/>
                <w:color w:val="000000"/>
                <w:sz w:val="20"/>
                <w:szCs w:val="20"/>
              </w:rPr>
              <w:t>---</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047" w:type="dxa"/>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eastAsia="Times New Roman" w:cs="Times New Roman"/>
                <w:color w:val="000000"/>
                <w:sz w:val="20"/>
                <w:szCs w:val="20"/>
              </w:rPr>
              <w:t>---</w:t>
            </w:r>
          </w:p>
        </w:tc>
        <w:tc>
          <w:tcPr>
            <w:tcW w:w="1100" w:type="dxa"/>
            <w:tcBorders>
              <w:top w:val="nil"/>
              <w:bottom w:val="nil"/>
            </w:tcBorders>
            <w:vAlign w:val="bottom"/>
          </w:tcPr>
          <w:p w:rsidR="008E39BB" w:rsidRPr="00944811" w:rsidRDefault="008E39BB" w:rsidP="008E39BB">
            <w:pPr>
              <w:jc w:val="center"/>
              <w:rPr>
                <w:rFonts w:cs="Times New Roman"/>
                <w:color w:val="000000"/>
                <w:sz w:val="20"/>
                <w:szCs w:val="20"/>
              </w:rPr>
            </w:pPr>
            <w:r w:rsidRPr="00944811">
              <w:rPr>
                <w:rFonts w:eastAsia="Times New Roman" w:cs="Times New Roman"/>
                <w:color w:val="000000"/>
                <w:sz w:val="20"/>
                <w:szCs w:val="20"/>
              </w:rPr>
              <w:t>-0.008</w:t>
            </w:r>
          </w:p>
        </w:tc>
        <w:tc>
          <w:tcPr>
            <w:tcW w:w="1244" w:type="dxa"/>
            <w:gridSpan w:val="2"/>
            <w:tcBorders>
              <w:top w:val="nil"/>
              <w:bottom w:val="nil"/>
            </w:tcBorders>
            <w:vAlign w:val="center"/>
          </w:tcPr>
          <w:p w:rsidR="008E39BB" w:rsidRPr="00092E35" w:rsidRDefault="008E39BB" w:rsidP="008E39BB">
            <w:pPr>
              <w:jc w:val="center"/>
              <w:rPr>
                <w:rFonts w:cs="Times New Roman"/>
                <w:color w:val="000000"/>
                <w:sz w:val="20"/>
                <w:szCs w:val="20"/>
              </w:rPr>
            </w:pPr>
            <w:r w:rsidRPr="00092E35">
              <w:rPr>
                <w:rFonts w:cs="Times New Roman"/>
                <w:color w:val="000000"/>
                <w:sz w:val="20"/>
                <w:szCs w:val="20"/>
              </w:rPr>
              <w:t>904</w:t>
            </w:r>
          </w:p>
        </w:tc>
      </w:tr>
      <w:tr w:rsidR="008E39BB" w:rsidRPr="00092E35" w:rsidTr="008E39BB">
        <w:trPr>
          <w:trHeight w:val="144"/>
          <w:jc w:val="center"/>
        </w:trPr>
        <w:tc>
          <w:tcPr>
            <w:tcW w:w="2160" w:type="dxa"/>
            <w:tcBorders>
              <w:top w:val="nil"/>
              <w:bottom w:val="single" w:sz="4" w:space="0" w:color="auto"/>
            </w:tcBorders>
            <w:vAlign w:val="center"/>
          </w:tcPr>
          <w:p w:rsidR="00877535" w:rsidRDefault="009D2579" w:rsidP="00DE2A70">
            <w:pPr>
              <w:jc w:val="left"/>
              <w:rPr>
                <w:rFonts w:cs="Times New Roman"/>
                <w:sz w:val="20"/>
                <w:szCs w:val="20"/>
              </w:rPr>
            </w:pPr>
            <w:r>
              <w:rPr>
                <w:rFonts w:cs="Times New Roman"/>
                <w:sz w:val="20"/>
                <w:szCs w:val="20"/>
              </w:rPr>
              <w:t>Constant-comp</w:t>
            </w:r>
            <w:r w:rsidR="008E39BB" w:rsidRPr="00092E35">
              <w:rPr>
                <w:rFonts w:cs="Times New Roman"/>
                <w:sz w:val="20"/>
                <w:szCs w:val="20"/>
              </w:rPr>
              <w:t xml:space="preserve"> sample</w:t>
            </w:r>
          </w:p>
        </w:tc>
        <w:tc>
          <w:tcPr>
            <w:tcW w:w="1631" w:type="dxa"/>
            <w:tcBorders>
              <w:top w:val="nil"/>
              <w:bottom w:val="single" w:sz="4" w:space="0" w:color="auto"/>
            </w:tcBorders>
            <w:vAlign w:val="center"/>
          </w:tcPr>
          <w:p w:rsidR="008E39BB" w:rsidRPr="00092E35" w:rsidRDefault="008E39BB" w:rsidP="008E39BB">
            <w:pPr>
              <w:jc w:val="center"/>
              <w:rPr>
                <w:rFonts w:cs="Times New Roman"/>
                <w:sz w:val="20"/>
                <w:szCs w:val="20"/>
              </w:rPr>
            </w:pPr>
            <w:r w:rsidRPr="00092E35">
              <w:rPr>
                <w:rFonts w:eastAsia="Times New Roman" w:cs="Times New Roman"/>
                <w:color w:val="000000"/>
                <w:sz w:val="20"/>
                <w:szCs w:val="20"/>
              </w:rPr>
              <w:t>0.624</w:t>
            </w: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r w:rsidRPr="00092E35">
              <w:rPr>
                <w:rFonts w:eastAsia="Times New Roman" w:cs="Times New Roman"/>
                <w:color w:val="000000"/>
                <w:sz w:val="20"/>
                <w:szCs w:val="20"/>
              </w:rPr>
              <w:t>0.0%</w:t>
            </w: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r w:rsidRPr="00092E35">
              <w:rPr>
                <w:rFonts w:eastAsia="Times New Roman" w:cs="Times New Roman"/>
                <w:color w:val="000000"/>
                <w:sz w:val="20"/>
                <w:szCs w:val="20"/>
              </w:rPr>
              <w:t>0.0%</w:t>
            </w: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r w:rsidRPr="00092E35">
              <w:rPr>
                <w:rFonts w:eastAsia="Times New Roman" w:cs="Times New Roman"/>
                <w:color w:val="000000"/>
                <w:sz w:val="20"/>
                <w:szCs w:val="20"/>
              </w:rPr>
              <w:t>1.3%</w:t>
            </w: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r w:rsidRPr="00092E35">
              <w:rPr>
                <w:rFonts w:eastAsia="Times New Roman" w:cs="Times New Roman"/>
                <w:color w:val="000000"/>
                <w:sz w:val="20"/>
                <w:szCs w:val="20"/>
              </w:rPr>
              <w:t>8.9%</w:t>
            </w: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r w:rsidRPr="00092E35">
              <w:rPr>
                <w:rFonts w:eastAsia="Times New Roman" w:cs="Times New Roman"/>
                <w:color w:val="000000"/>
                <w:sz w:val="20"/>
                <w:szCs w:val="20"/>
              </w:rPr>
              <w:t>16.6%</w:t>
            </w:r>
          </w:p>
        </w:tc>
        <w:tc>
          <w:tcPr>
            <w:tcW w:w="1047" w:type="dxa"/>
            <w:tcBorders>
              <w:top w:val="nil"/>
              <w:bottom w:val="single" w:sz="4" w:space="0" w:color="auto"/>
            </w:tcBorders>
            <w:vAlign w:val="center"/>
          </w:tcPr>
          <w:p w:rsidR="008E39BB" w:rsidRPr="00092E35" w:rsidRDefault="008E39BB" w:rsidP="008E39BB">
            <w:pPr>
              <w:jc w:val="center"/>
              <w:rPr>
                <w:rFonts w:cs="Times New Roman"/>
                <w:sz w:val="20"/>
                <w:szCs w:val="20"/>
              </w:rPr>
            </w:pPr>
            <w:r w:rsidRPr="00092E35">
              <w:rPr>
                <w:rFonts w:eastAsia="Times New Roman" w:cs="Times New Roman"/>
                <w:color w:val="000000"/>
                <w:sz w:val="20"/>
                <w:szCs w:val="20"/>
              </w:rPr>
              <w:t>73.3%</w:t>
            </w:r>
          </w:p>
        </w:tc>
        <w:tc>
          <w:tcPr>
            <w:tcW w:w="1100" w:type="dxa"/>
            <w:tcBorders>
              <w:top w:val="nil"/>
              <w:bottom w:val="single" w:sz="4" w:space="0" w:color="auto"/>
            </w:tcBorders>
            <w:vAlign w:val="bottom"/>
          </w:tcPr>
          <w:p w:rsidR="008E39BB" w:rsidRPr="00944811" w:rsidRDefault="008E39BB" w:rsidP="008E39BB">
            <w:pPr>
              <w:jc w:val="center"/>
              <w:rPr>
                <w:rFonts w:cs="Times New Roman"/>
                <w:sz w:val="20"/>
                <w:szCs w:val="20"/>
              </w:rPr>
            </w:pPr>
            <w:r w:rsidRPr="00944811">
              <w:rPr>
                <w:rFonts w:eastAsia="Times New Roman" w:cs="Times New Roman"/>
                <w:color w:val="000000"/>
                <w:sz w:val="20"/>
                <w:szCs w:val="20"/>
              </w:rPr>
              <w:t>0.140</w:t>
            </w:r>
          </w:p>
        </w:tc>
        <w:tc>
          <w:tcPr>
            <w:tcW w:w="1244" w:type="dxa"/>
            <w:gridSpan w:val="2"/>
            <w:tcBorders>
              <w:top w:val="nil"/>
              <w:bottom w:val="single" w:sz="4" w:space="0" w:color="auto"/>
            </w:tcBorders>
            <w:vAlign w:val="center"/>
          </w:tcPr>
          <w:p w:rsidR="008E39BB" w:rsidRPr="00092E35" w:rsidRDefault="008E39BB" w:rsidP="008E39BB">
            <w:pPr>
              <w:jc w:val="center"/>
              <w:rPr>
                <w:rFonts w:cs="Times New Roman"/>
                <w:sz w:val="20"/>
                <w:szCs w:val="20"/>
              </w:rPr>
            </w:pPr>
            <w:r w:rsidRPr="00092E35">
              <w:rPr>
                <w:rFonts w:cs="Times New Roman"/>
                <w:sz w:val="20"/>
                <w:szCs w:val="20"/>
              </w:rPr>
              <w:t>157</w:t>
            </w:r>
          </w:p>
        </w:tc>
      </w:tr>
    </w:tbl>
    <w:p w:rsidR="007A457D" w:rsidRDefault="007A457D" w:rsidP="008E39BB">
      <w:pPr>
        <w:jc w:val="center"/>
        <w:rPr>
          <w:b/>
          <w:sz w:val="20"/>
          <w:szCs w:val="20"/>
        </w:rPr>
      </w:pPr>
    </w:p>
    <w:p w:rsidR="008E39BB" w:rsidRDefault="0067344F">
      <w:pPr>
        <w:jc w:val="center"/>
        <w:rPr>
          <w:b/>
          <w:sz w:val="20"/>
          <w:szCs w:val="20"/>
        </w:rPr>
      </w:pPr>
      <w:r>
        <w:rPr>
          <w:b/>
          <w:sz w:val="20"/>
          <w:szCs w:val="20"/>
        </w:rPr>
        <w:t xml:space="preserve">Table </w:t>
      </w:r>
      <w:r w:rsidR="00AA4744">
        <w:rPr>
          <w:b/>
          <w:sz w:val="20"/>
          <w:szCs w:val="20"/>
        </w:rPr>
        <w:t>IA.</w:t>
      </w:r>
      <w:r w:rsidR="00E84F3B">
        <w:rPr>
          <w:b/>
          <w:sz w:val="20"/>
          <w:szCs w:val="20"/>
        </w:rPr>
        <w:t>II</w:t>
      </w:r>
    </w:p>
    <w:p w:rsidR="008E39BB" w:rsidRDefault="008E39BB" w:rsidP="008E39BB">
      <w:pPr>
        <w:jc w:val="center"/>
        <w:rPr>
          <w:b/>
          <w:sz w:val="20"/>
          <w:szCs w:val="20"/>
        </w:rPr>
      </w:pPr>
    </w:p>
    <w:p w:rsidR="008E39BB" w:rsidRPr="00944811" w:rsidRDefault="008E39BB" w:rsidP="008E39BB">
      <w:pPr>
        <w:jc w:val="center"/>
        <w:rPr>
          <w:b/>
          <w:sz w:val="20"/>
          <w:szCs w:val="20"/>
        </w:rPr>
      </w:pPr>
      <w:r w:rsidRPr="00944811">
        <w:rPr>
          <w:b/>
          <w:sz w:val="20"/>
          <w:szCs w:val="20"/>
        </w:rPr>
        <w:t>Time-Series Standard Deviation (</w:t>
      </w:r>
      <m:oMath>
        <m:r>
          <m:rPr>
            <m:sty m:val="bi"/>
          </m:rPr>
          <w:rPr>
            <w:rFonts w:ascii="Cambria Math" w:hAnsi="Cambria Math"/>
            <w:sz w:val="20"/>
            <w:szCs w:val="20"/>
          </w:rPr>
          <m:t>σ</m:t>
        </m:r>
      </m:oMath>
      <w:r w:rsidRPr="00944811">
        <w:rPr>
          <w:b/>
          <w:sz w:val="20"/>
          <w:szCs w:val="20"/>
        </w:rPr>
        <w:t>)of Book Leverage, Market Leverage, and NetDebt Ratios of Publicly Held Industrial Firms</w:t>
      </w:r>
    </w:p>
    <w:p w:rsidR="008E39BB" w:rsidRDefault="008E39BB" w:rsidP="008E39BB">
      <w:pPr>
        <w:rPr>
          <w:sz w:val="20"/>
          <w:szCs w:val="20"/>
        </w:rPr>
      </w:pPr>
    </w:p>
    <w:p w:rsidR="008E39BB" w:rsidRDefault="008E39BB" w:rsidP="008E39BB">
      <w:pPr>
        <w:rPr>
          <w:sz w:val="20"/>
          <w:szCs w:val="20"/>
        </w:rPr>
      </w:pPr>
      <w:r w:rsidRPr="006C02F4">
        <w:rPr>
          <w:sz w:val="20"/>
          <w:szCs w:val="20"/>
        </w:rPr>
        <w:t>The time-series st</w:t>
      </w:r>
      <w:r>
        <w:rPr>
          <w:sz w:val="20"/>
          <w:szCs w:val="20"/>
        </w:rPr>
        <w:t>andard deviation of leverage,</w:t>
      </w:r>
      <m:oMath>
        <m:r>
          <w:rPr>
            <w:rFonts w:ascii="Cambria Math" w:hAnsi="Cambria Math"/>
            <w:sz w:val="20"/>
            <w:szCs w:val="20"/>
          </w:rPr>
          <m:t>σ</m:t>
        </m:r>
      </m:oMath>
      <w:r>
        <w:rPr>
          <w:sz w:val="20"/>
          <w:szCs w:val="20"/>
        </w:rPr>
        <w:t xml:space="preserve">, is based on the maximum likelihood estimator, which uses a divisor equal to the number of observations, </w:t>
      </w:r>
      <w:r w:rsidRPr="00CD55F3">
        <w:rPr>
          <w:i/>
          <w:sz w:val="20"/>
          <w:szCs w:val="20"/>
        </w:rPr>
        <w:t>N</w:t>
      </w:r>
      <w:r>
        <w:rPr>
          <w:sz w:val="20"/>
          <w:szCs w:val="20"/>
        </w:rPr>
        <w:t xml:space="preserve">, in each firm’s time series, not </w:t>
      </w:r>
      <w:r w:rsidRPr="00CD55F3">
        <w:rPr>
          <w:i/>
          <w:sz w:val="20"/>
          <w:szCs w:val="20"/>
        </w:rPr>
        <w:t>N-1</w:t>
      </w:r>
      <w:r>
        <w:rPr>
          <w:sz w:val="20"/>
          <w:szCs w:val="20"/>
        </w:rPr>
        <w:t>.  C</w:t>
      </w:r>
      <w:r w:rsidRPr="006C02F4">
        <w:rPr>
          <w:sz w:val="20"/>
          <w:szCs w:val="20"/>
        </w:rPr>
        <w:t xml:space="preserve">olumn </w:t>
      </w:r>
      <w:r>
        <w:rPr>
          <w:sz w:val="20"/>
          <w:szCs w:val="20"/>
        </w:rPr>
        <w:t xml:space="preserve">(3) </w:t>
      </w:r>
      <w:r w:rsidRPr="006C02F4">
        <w:rPr>
          <w:sz w:val="20"/>
          <w:szCs w:val="20"/>
        </w:rPr>
        <w:t>reports the cross-se</w:t>
      </w:r>
      <w:r>
        <w:rPr>
          <w:sz w:val="20"/>
          <w:szCs w:val="20"/>
        </w:rPr>
        <w:t xml:space="preserve">ctional standard deviation of </w:t>
      </w:r>
      <m:oMath>
        <m:r>
          <w:rPr>
            <w:rFonts w:ascii="Cambria Math" w:hAnsi="Cambria Math"/>
            <w:sz w:val="20"/>
            <w:szCs w:val="20"/>
          </w:rPr>
          <m:t>σ</m:t>
        </m:r>
      </m:oMath>
      <w:r w:rsidRPr="006C02F4">
        <w:rPr>
          <w:sz w:val="20"/>
          <w:szCs w:val="20"/>
        </w:rPr>
        <w:t xml:space="preserve">for all firms in the sample for the </w:t>
      </w:r>
      <w:r>
        <w:rPr>
          <w:sz w:val="20"/>
          <w:szCs w:val="20"/>
        </w:rPr>
        <w:t>row in question.  C</w:t>
      </w:r>
      <w:r w:rsidRPr="006C02F4">
        <w:rPr>
          <w:sz w:val="20"/>
          <w:szCs w:val="20"/>
        </w:rPr>
        <w:t>olumn</w:t>
      </w:r>
      <w:r>
        <w:rPr>
          <w:sz w:val="20"/>
          <w:szCs w:val="20"/>
        </w:rPr>
        <w:t xml:space="preserve"> (4) reports</w:t>
      </w:r>
      <w:r w:rsidRPr="006C02F4">
        <w:rPr>
          <w:sz w:val="20"/>
          <w:szCs w:val="20"/>
        </w:rPr>
        <w:t xml:space="preserve"> the correlation between the time-series standard deviation of leverag</w:t>
      </w:r>
      <w:r>
        <w:rPr>
          <w:sz w:val="20"/>
          <w:szCs w:val="20"/>
        </w:rPr>
        <w:t xml:space="preserve">e and the range in leverage.  Book leverage is the ratio of total debt to total assets.  Market leverage is the ratio of debt to the sum of debt plus the market value of common stock.  The netdebt ratio equals debt minus cash, divided by total assets.  </w:t>
      </w:r>
      <w:r w:rsidRPr="00917FAB">
        <w:rPr>
          <w:sz w:val="20"/>
          <w:szCs w:val="20"/>
        </w:rPr>
        <w:t xml:space="preserve">The </w:t>
      </w:r>
      <w:r>
        <w:rPr>
          <w:sz w:val="20"/>
          <w:szCs w:val="20"/>
        </w:rPr>
        <w:t>sample contains</w:t>
      </w:r>
      <w:r w:rsidRPr="00917FAB">
        <w:rPr>
          <w:sz w:val="20"/>
          <w:szCs w:val="20"/>
        </w:rPr>
        <w:t xml:space="preserve"> 15,096 industrial firms in th</w:t>
      </w:r>
      <w:r w:rsidR="008003B3">
        <w:rPr>
          <w:sz w:val="20"/>
          <w:szCs w:val="20"/>
        </w:rPr>
        <w:t xml:space="preserve">e CRSP/Compustat file over 1950 to </w:t>
      </w:r>
      <w:r w:rsidRPr="00917FAB">
        <w:rPr>
          <w:sz w:val="20"/>
          <w:szCs w:val="20"/>
        </w:rPr>
        <w:t>2008</w:t>
      </w:r>
      <w:r>
        <w:rPr>
          <w:sz w:val="20"/>
          <w:szCs w:val="20"/>
        </w:rPr>
        <w:t>, with other sampling co</w:t>
      </w:r>
      <w:r w:rsidR="004C7E2B">
        <w:rPr>
          <w:sz w:val="20"/>
          <w:szCs w:val="20"/>
        </w:rPr>
        <w:t xml:space="preserve">nditions as described in Table </w:t>
      </w:r>
      <w:r w:rsidR="007A457D">
        <w:rPr>
          <w:sz w:val="20"/>
          <w:szCs w:val="20"/>
        </w:rPr>
        <w:t>I</w:t>
      </w:r>
      <w:r w:rsidR="004C7E2B">
        <w:rPr>
          <w:sz w:val="20"/>
          <w:szCs w:val="20"/>
        </w:rPr>
        <w:t>A</w:t>
      </w:r>
      <w:r w:rsidR="007A457D">
        <w:rPr>
          <w:sz w:val="20"/>
          <w:szCs w:val="20"/>
        </w:rPr>
        <w:t>.</w:t>
      </w:r>
      <w:r w:rsidR="004C7E2B">
        <w:rPr>
          <w:sz w:val="20"/>
          <w:szCs w:val="20"/>
        </w:rPr>
        <w:t>I</w:t>
      </w:r>
      <w:r>
        <w:rPr>
          <w:sz w:val="20"/>
          <w:szCs w:val="20"/>
        </w:rPr>
        <w:t>.</w:t>
      </w:r>
    </w:p>
    <w:p w:rsidR="008E39BB" w:rsidRDefault="008E39BB" w:rsidP="008E39BB">
      <w:pPr>
        <w:rPr>
          <w:sz w:val="20"/>
          <w:szCs w:val="20"/>
        </w:rPr>
      </w:pPr>
    </w:p>
    <w:tbl>
      <w:tblPr>
        <w:tblStyle w:val="TableGrid"/>
        <w:tblW w:w="13824" w:type="dxa"/>
        <w:jc w:val="center"/>
        <w:tblBorders>
          <w:left w:val="none" w:sz="0" w:space="0" w:color="auto"/>
          <w:right w:val="none" w:sz="0" w:space="0" w:color="auto"/>
          <w:insideH w:val="none" w:sz="0" w:space="0" w:color="auto"/>
          <w:insideV w:val="none" w:sz="0" w:space="0" w:color="auto"/>
        </w:tblBorders>
        <w:tblLayout w:type="fixed"/>
        <w:tblLook w:val="04A0"/>
      </w:tblPr>
      <w:tblGrid>
        <w:gridCol w:w="2214"/>
        <w:gridCol w:w="1180"/>
        <w:gridCol w:w="1180"/>
        <w:gridCol w:w="1477"/>
        <w:gridCol w:w="1329"/>
        <w:gridCol w:w="1074"/>
        <w:gridCol w:w="1074"/>
        <w:gridCol w:w="1074"/>
        <w:gridCol w:w="1074"/>
        <w:gridCol w:w="1074"/>
        <w:gridCol w:w="1074"/>
      </w:tblGrid>
      <w:tr w:rsidR="008E39BB" w:rsidRPr="00E754FB" w:rsidTr="00DE2A70">
        <w:trPr>
          <w:trHeight w:val="144"/>
          <w:jc w:val="center"/>
        </w:trPr>
        <w:tc>
          <w:tcPr>
            <w:tcW w:w="2214" w:type="dxa"/>
            <w:tcBorders>
              <w:top w:val="single" w:sz="4" w:space="0" w:color="auto"/>
              <w:bottom w:val="nil"/>
            </w:tcBorders>
            <w:vAlign w:val="bottom"/>
          </w:tcPr>
          <w:p w:rsidR="00877535" w:rsidRDefault="00877535" w:rsidP="00DE2A70">
            <w:pPr>
              <w:jc w:val="left"/>
              <w:rPr>
                <w:rFonts w:ascii="Tahoma" w:hAnsi="Tahoma" w:cs="Tahoma"/>
                <w:sz w:val="20"/>
                <w:szCs w:val="20"/>
              </w:rPr>
            </w:pPr>
          </w:p>
        </w:tc>
        <w:tc>
          <w:tcPr>
            <w:tcW w:w="1180" w:type="dxa"/>
            <w:tcBorders>
              <w:top w:val="single" w:sz="4" w:space="0" w:color="auto"/>
              <w:bottom w:val="nil"/>
            </w:tcBorders>
          </w:tcPr>
          <w:p w:rsidR="008E39BB" w:rsidRPr="00E754FB" w:rsidRDefault="008E39BB" w:rsidP="008E39BB">
            <w:pPr>
              <w:jc w:val="center"/>
              <w:rPr>
                <w:sz w:val="20"/>
                <w:szCs w:val="20"/>
              </w:rPr>
            </w:pPr>
          </w:p>
        </w:tc>
        <w:tc>
          <w:tcPr>
            <w:tcW w:w="1180" w:type="dxa"/>
            <w:tcBorders>
              <w:top w:val="single" w:sz="4" w:space="0" w:color="auto"/>
              <w:bottom w:val="nil"/>
            </w:tcBorders>
          </w:tcPr>
          <w:p w:rsidR="008E39BB" w:rsidRPr="00E754FB" w:rsidRDefault="008E39BB" w:rsidP="008E39BB">
            <w:pPr>
              <w:jc w:val="center"/>
              <w:rPr>
                <w:sz w:val="20"/>
                <w:szCs w:val="20"/>
              </w:rPr>
            </w:pPr>
          </w:p>
        </w:tc>
        <w:tc>
          <w:tcPr>
            <w:tcW w:w="1477" w:type="dxa"/>
            <w:tcBorders>
              <w:top w:val="single" w:sz="4" w:space="0" w:color="auto"/>
              <w:bottom w:val="nil"/>
            </w:tcBorders>
          </w:tcPr>
          <w:p w:rsidR="008E39BB" w:rsidRDefault="008E39BB" w:rsidP="008E39BB">
            <w:pPr>
              <w:jc w:val="center"/>
              <w:rPr>
                <w:sz w:val="20"/>
                <w:szCs w:val="20"/>
              </w:rPr>
            </w:pPr>
            <w:r>
              <w:rPr>
                <w:sz w:val="20"/>
                <w:szCs w:val="20"/>
              </w:rPr>
              <w:t>Cross-sectional</w:t>
            </w:r>
          </w:p>
        </w:tc>
        <w:tc>
          <w:tcPr>
            <w:tcW w:w="1329" w:type="dxa"/>
            <w:tcBorders>
              <w:top w:val="single" w:sz="4" w:space="0" w:color="auto"/>
              <w:bottom w:val="nil"/>
            </w:tcBorders>
            <w:vAlign w:val="bottom"/>
          </w:tcPr>
          <w:p w:rsidR="008E39BB" w:rsidRPr="00E754FB" w:rsidRDefault="008E39BB" w:rsidP="008E39BB">
            <w:pPr>
              <w:jc w:val="center"/>
              <w:rPr>
                <w:sz w:val="20"/>
                <w:szCs w:val="20"/>
              </w:rPr>
            </w:pPr>
            <w:r>
              <w:rPr>
                <w:sz w:val="20"/>
                <w:szCs w:val="20"/>
              </w:rPr>
              <w:t>Correlation</w:t>
            </w:r>
          </w:p>
        </w:tc>
        <w:tc>
          <w:tcPr>
            <w:tcW w:w="6444" w:type="dxa"/>
            <w:gridSpan w:val="6"/>
            <w:tcBorders>
              <w:top w:val="single" w:sz="4" w:space="0" w:color="auto"/>
              <w:bottom w:val="single" w:sz="4" w:space="0" w:color="auto"/>
            </w:tcBorders>
            <w:vAlign w:val="bottom"/>
          </w:tcPr>
          <w:p w:rsidR="008E39BB" w:rsidRPr="006C02F4" w:rsidRDefault="00304959" w:rsidP="008E39BB">
            <w:pPr>
              <w:jc w:val="center"/>
              <w:rPr>
                <w:sz w:val="20"/>
                <w:szCs w:val="20"/>
              </w:rPr>
            </w:pPr>
            <w:r>
              <w:rPr>
                <w:sz w:val="20"/>
                <w:szCs w:val="20"/>
              </w:rPr>
              <w:t>%</w:t>
            </w:r>
            <w:r w:rsidR="008E39BB" w:rsidRPr="006C02F4">
              <w:rPr>
                <w:sz w:val="20"/>
                <w:szCs w:val="20"/>
              </w:rPr>
              <w:t xml:space="preserve"> of firms with standard deviation </w:t>
            </w:r>
            <m:oMath>
              <m:r>
                <m:rPr>
                  <m:sty m:val="p"/>
                </m:rPr>
                <w:rPr>
                  <w:rFonts w:ascii="Cambria Math" w:hAnsi="Cambria Math"/>
                  <w:sz w:val="20"/>
                  <w:szCs w:val="20"/>
                </w:rPr>
                <m:t>(</m:t>
              </m:r>
              <m:r>
                <w:rPr>
                  <w:rFonts w:ascii="Cambria Math" w:hAnsi="Cambria Math"/>
                  <w:sz w:val="20"/>
                  <w:szCs w:val="20"/>
                </w:rPr>
                <m:t>σ</m:t>
              </m:r>
              <m:r>
                <m:rPr>
                  <m:sty m:val="p"/>
                </m:rPr>
                <w:rPr>
                  <w:rFonts w:ascii="Cambria Math" w:hAnsi="Cambria Math"/>
                  <w:sz w:val="20"/>
                  <w:szCs w:val="20"/>
                </w:rPr>
                <m:t xml:space="preserve">) </m:t>
              </m:r>
            </m:oMath>
            <w:r w:rsidR="008E39BB" w:rsidRPr="006C02F4">
              <w:rPr>
                <w:sz w:val="20"/>
                <w:szCs w:val="20"/>
              </w:rPr>
              <w:t>in the interval:</w:t>
            </w:r>
          </w:p>
        </w:tc>
      </w:tr>
      <w:tr w:rsidR="008E39BB" w:rsidRPr="00E754FB" w:rsidTr="00DE2A70">
        <w:trPr>
          <w:trHeight w:val="144"/>
          <w:jc w:val="center"/>
        </w:trPr>
        <w:tc>
          <w:tcPr>
            <w:tcW w:w="2214" w:type="dxa"/>
            <w:tcBorders>
              <w:top w:val="nil"/>
              <w:bottom w:val="nil"/>
            </w:tcBorders>
            <w:vAlign w:val="bottom"/>
          </w:tcPr>
          <w:p w:rsidR="00877535" w:rsidRDefault="008E39BB" w:rsidP="00DE2A70">
            <w:pPr>
              <w:jc w:val="left"/>
              <w:rPr>
                <w:sz w:val="20"/>
                <w:szCs w:val="20"/>
              </w:rPr>
            </w:pPr>
            <w:r>
              <w:rPr>
                <w:sz w:val="20"/>
                <w:szCs w:val="20"/>
              </w:rPr>
              <w:t>Years on</w:t>
            </w:r>
          </w:p>
        </w:tc>
        <w:tc>
          <w:tcPr>
            <w:tcW w:w="1180" w:type="dxa"/>
            <w:tcBorders>
              <w:top w:val="nil"/>
              <w:bottom w:val="nil"/>
            </w:tcBorders>
          </w:tcPr>
          <w:p w:rsidR="008E39BB" w:rsidRDefault="008E39BB" w:rsidP="008E39BB">
            <w:pPr>
              <w:jc w:val="center"/>
              <w:rPr>
                <w:sz w:val="20"/>
                <w:szCs w:val="20"/>
              </w:rPr>
            </w:pPr>
            <w:r>
              <w:rPr>
                <w:sz w:val="20"/>
                <w:szCs w:val="20"/>
              </w:rPr>
              <w:t>Average</w:t>
            </w:r>
          </w:p>
          <w:p w:rsidR="008E39BB" w:rsidRPr="00304959" w:rsidRDefault="00304959" w:rsidP="008E39BB">
            <w:pPr>
              <w:jc w:val="center"/>
              <w:rPr>
                <w:i/>
                <w:sz w:val="20"/>
                <w:szCs w:val="20"/>
              </w:rPr>
            </w:pPr>
            <m:oMathPara>
              <m:oMath>
                <m:r>
                  <w:rPr>
                    <w:rFonts w:ascii="Cambria Math" w:hAnsi="Cambria Math"/>
                    <w:sz w:val="20"/>
                    <w:szCs w:val="20"/>
                  </w:rPr>
                  <m:t>σ</m:t>
                </m:r>
              </m:oMath>
            </m:oMathPara>
          </w:p>
        </w:tc>
        <w:tc>
          <w:tcPr>
            <w:tcW w:w="1180" w:type="dxa"/>
            <w:tcBorders>
              <w:top w:val="nil"/>
              <w:bottom w:val="nil"/>
            </w:tcBorders>
          </w:tcPr>
          <w:p w:rsidR="008E39BB" w:rsidRDefault="008E39BB" w:rsidP="008E39BB">
            <w:pPr>
              <w:jc w:val="center"/>
              <w:rPr>
                <w:sz w:val="20"/>
                <w:szCs w:val="20"/>
              </w:rPr>
            </w:pPr>
            <w:r>
              <w:rPr>
                <w:sz w:val="20"/>
                <w:szCs w:val="20"/>
              </w:rPr>
              <w:t>Median</w:t>
            </w:r>
          </w:p>
          <w:p w:rsidR="008E39BB" w:rsidRPr="00304959" w:rsidRDefault="00304959" w:rsidP="008E39BB">
            <w:pPr>
              <w:jc w:val="center"/>
              <w:rPr>
                <w:i/>
                <w:sz w:val="20"/>
                <w:szCs w:val="20"/>
              </w:rPr>
            </w:pPr>
            <m:oMathPara>
              <m:oMath>
                <m:r>
                  <w:rPr>
                    <w:rFonts w:ascii="Cambria Math" w:hAnsi="Cambria Math"/>
                    <w:sz w:val="20"/>
                    <w:szCs w:val="20"/>
                  </w:rPr>
                  <m:t>σ</m:t>
                </m:r>
              </m:oMath>
            </m:oMathPara>
          </w:p>
        </w:tc>
        <w:tc>
          <w:tcPr>
            <w:tcW w:w="1477" w:type="dxa"/>
            <w:tcBorders>
              <w:top w:val="nil"/>
              <w:bottom w:val="nil"/>
            </w:tcBorders>
          </w:tcPr>
          <w:p w:rsidR="008E39BB" w:rsidRPr="006C02F4" w:rsidRDefault="008E39BB" w:rsidP="008E39BB">
            <w:pPr>
              <w:jc w:val="center"/>
              <w:rPr>
                <w:sz w:val="20"/>
                <w:szCs w:val="20"/>
              </w:rPr>
            </w:pPr>
            <w:r>
              <w:rPr>
                <w:sz w:val="20"/>
                <w:szCs w:val="20"/>
              </w:rPr>
              <w:t>s</w:t>
            </w:r>
            <w:r w:rsidRPr="006C02F4">
              <w:rPr>
                <w:sz w:val="20"/>
                <w:szCs w:val="20"/>
              </w:rPr>
              <w:t>t</w:t>
            </w:r>
            <w:r>
              <w:rPr>
                <w:sz w:val="20"/>
                <w:szCs w:val="20"/>
              </w:rPr>
              <w:t>andard deviation of</w:t>
            </w:r>
            <m:oMath>
              <m:r>
                <w:rPr>
                  <w:rFonts w:ascii="Cambria Math" w:hAnsi="Cambria Math"/>
                  <w:sz w:val="20"/>
                  <w:szCs w:val="20"/>
                </w:rPr>
                <m:t>σ</m:t>
              </m:r>
            </m:oMath>
          </w:p>
        </w:tc>
        <w:tc>
          <w:tcPr>
            <w:tcW w:w="1329" w:type="dxa"/>
            <w:tcBorders>
              <w:top w:val="nil"/>
              <w:bottom w:val="nil"/>
            </w:tcBorders>
            <w:vAlign w:val="bottom"/>
          </w:tcPr>
          <w:p w:rsidR="008E39BB" w:rsidRPr="006C02F4" w:rsidRDefault="008E39BB" w:rsidP="008E39BB">
            <w:pPr>
              <w:jc w:val="center"/>
              <w:rPr>
                <w:rFonts w:eastAsiaTheme="minorEastAsia"/>
                <w:sz w:val="20"/>
                <w:szCs w:val="20"/>
              </w:rPr>
            </w:pPr>
            <w:r>
              <w:rPr>
                <w:sz w:val="20"/>
                <w:szCs w:val="20"/>
              </w:rPr>
              <w:t xml:space="preserve">between </w:t>
            </w:r>
            <m:oMath>
              <m:r>
                <m:rPr>
                  <m:sty m:val="p"/>
                </m:rPr>
                <w:rPr>
                  <w:rFonts w:ascii="Cambria Math" w:hAnsi="Cambria Math"/>
                  <w:sz w:val="20"/>
                  <w:szCs w:val="20"/>
                </w:rPr>
                <m:t>σ</m:t>
              </m:r>
            </m:oMath>
            <w:r>
              <w:rPr>
                <w:sz w:val="20"/>
                <w:szCs w:val="20"/>
              </w:rPr>
              <w:t xml:space="preserve"> and range</w:t>
            </w:r>
          </w:p>
        </w:tc>
        <w:tc>
          <w:tcPr>
            <w:tcW w:w="1074" w:type="dxa"/>
            <w:tcBorders>
              <w:top w:val="single" w:sz="4" w:space="0" w:color="auto"/>
              <w:bottom w:val="nil"/>
            </w:tcBorders>
            <w:vAlign w:val="bottom"/>
          </w:tcPr>
          <w:p w:rsidR="008E39BB" w:rsidRPr="00E754FB" w:rsidRDefault="008E39BB" w:rsidP="008E39BB">
            <w:pPr>
              <w:jc w:val="center"/>
              <w:rPr>
                <w:sz w:val="20"/>
                <w:szCs w:val="20"/>
              </w:rPr>
            </w:pPr>
            <w:r w:rsidRPr="00E754FB">
              <w:rPr>
                <w:sz w:val="20"/>
                <w:szCs w:val="20"/>
              </w:rPr>
              <w:t>0.000</w:t>
            </w:r>
          </w:p>
          <w:p w:rsidR="008E39BB" w:rsidRPr="00E754FB" w:rsidRDefault="008E39BB" w:rsidP="008E39BB">
            <w:pPr>
              <w:jc w:val="center"/>
              <w:rPr>
                <w:sz w:val="20"/>
                <w:szCs w:val="20"/>
              </w:rPr>
            </w:pPr>
            <w:r>
              <w:rPr>
                <w:sz w:val="20"/>
                <w:szCs w:val="20"/>
              </w:rPr>
              <w:t>to 0.050</w:t>
            </w:r>
          </w:p>
        </w:tc>
        <w:tc>
          <w:tcPr>
            <w:tcW w:w="1074" w:type="dxa"/>
            <w:tcBorders>
              <w:top w:val="single" w:sz="4" w:space="0" w:color="auto"/>
              <w:bottom w:val="nil"/>
            </w:tcBorders>
            <w:vAlign w:val="bottom"/>
          </w:tcPr>
          <w:p w:rsidR="008E39BB" w:rsidRPr="00E754FB" w:rsidRDefault="008E39BB" w:rsidP="008E39BB">
            <w:pPr>
              <w:jc w:val="center"/>
              <w:rPr>
                <w:sz w:val="20"/>
                <w:szCs w:val="20"/>
              </w:rPr>
            </w:pPr>
            <w:r>
              <w:rPr>
                <w:sz w:val="20"/>
                <w:szCs w:val="20"/>
              </w:rPr>
              <w:t>0.050</w:t>
            </w:r>
          </w:p>
          <w:p w:rsidR="008E39BB" w:rsidRPr="00E754FB" w:rsidRDefault="008E39BB" w:rsidP="008E39BB">
            <w:pPr>
              <w:jc w:val="center"/>
              <w:rPr>
                <w:sz w:val="20"/>
                <w:szCs w:val="20"/>
              </w:rPr>
            </w:pPr>
            <w:r>
              <w:rPr>
                <w:sz w:val="20"/>
                <w:szCs w:val="20"/>
              </w:rPr>
              <w:t>to 0.1</w:t>
            </w:r>
            <w:r w:rsidRPr="00E754FB">
              <w:rPr>
                <w:sz w:val="20"/>
                <w:szCs w:val="20"/>
              </w:rPr>
              <w:t>00</w:t>
            </w:r>
          </w:p>
        </w:tc>
        <w:tc>
          <w:tcPr>
            <w:tcW w:w="1074" w:type="dxa"/>
            <w:tcBorders>
              <w:top w:val="single" w:sz="4" w:space="0" w:color="auto"/>
              <w:bottom w:val="nil"/>
            </w:tcBorders>
            <w:vAlign w:val="bottom"/>
          </w:tcPr>
          <w:p w:rsidR="008E39BB" w:rsidRPr="00E754FB" w:rsidRDefault="008E39BB" w:rsidP="008E39BB">
            <w:pPr>
              <w:jc w:val="center"/>
              <w:rPr>
                <w:sz w:val="20"/>
                <w:szCs w:val="20"/>
              </w:rPr>
            </w:pPr>
            <w:r w:rsidRPr="00E754FB">
              <w:rPr>
                <w:sz w:val="20"/>
                <w:szCs w:val="20"/>
              </w:rPr>
              <w:t>0.</w:t>
            </w:r>
            <w:r>
              <w:rPr>
                <w:sz w:val="20"/>
                <w:szCs w:val="20"/>
              </w:rPr>
              <w:t>1</w:t>
            </w:r>
            <w:r w:rsidRPr="00E754FB">
              <w:rPr>
                <w:sz w:val="20"/>
                <w:szCs w:val="20"/>
              </w:rPr>
              <w:t>00</w:t>
            </w:r>
          </w:p>
          <w:p w:rsidR="008E39BB" w:rsidRPr="00E754FB" w:rsidRDefault="008E39BB" w:rsidP="008E39BB">
            <w:pPr>
              <w:jc w:val="center"/>
              <w:rPr>
                <w:sz w:val="20"/>
                <w:szCs w:val="20"/>
              </w:rPr>
            </w:pPr>
            <w:r>
              <w:rPr>
                <w:sz w:val="20"/>
                <w:szCs w:val="20"/>
              </w:rPr>
              <w:t>to 0.150</w:t>
            </w:r>
          </w:p>
        </w:tc>
        <w:tc>
          <w:tcPr>
            <w:tcW w:w="1074" w:type="dxa"/>
            <w:tcBorders>
              <w:top w:val="single" w:sz="4" w:space="0" w:color="auto"/>
              <w:bottom w:val="nil"/>
            </w:tcBorders>
            <w:vAlign w:val="bottom"/>
          </w:tcPr>
          <w:p w:rsidR="008E39BB" w:rsidRPr="00E754FB" w:rsidRDefault="008E39BB" w:rsidP="008E39BB">
            <w:pPr>
              <w:jc w:val="center"/>
              <w:rPr>
                <w:sz w:val="20"/>
                <w:szCs w:val="20"/>
              </w:rPr>
            </w:pPr>
            <w:r>
              <w:rPr>
                <w:sz w:val="20"/>
                <w:szCs w:val="20"/>
              </w:rPr>
              <w:t>0.150</w:t>
            </w:r>
          </w:p>
          <w:p w:rsidR="008E39BB" w:rsidRPr="00E754FB" w:rsidRDefault="008E39BB" w:rsidP="008E39BB">
            <w:pPr>
              <w:jc w:val="center"/>
              <w:rPr>
                <w:sz w:val="20"/>
                <w:szCs w:val="20"/>
              </w:rPr>
            </w:pPr>
            <w:r>
              <w:rPr>
                <w:sz w:val="20"/>
                <w:szCs w:val="20"/>
              </w:rPr>
              <w:t>to 0.200</w:t>
            </w:r>
          </w:p>
        </w:tc>
        <w:tc>
          <w:tcPr>
            <w:tcW w:w="1074" w:type="dxa"/>
            <w:tcBorders>
              <w:top w:val="single" w:sz="4" w:space="0" w:color="auto"/>
              <w:bottom w:val="nil"/>
            </w:tcBorders>
            <w:vAlign w:val="bottom"/>
          </w:tcPr>
          <w:p w:rsidR="008E39BB" w:rsidRPr="00E754FB" w:rsidRDefault="008E39BB" w:rsidP="008E39BB">
            <w:pPr>
              <w:jc w:val="center"/>
              <w:rPr>
                <w:sz w:val="20"/>
                <w:szCs w:val="20"/>
              </w:rPr>
            </w:pPr>
            <w:r>
              <w:rPr>
                <w:sz w:val="20"/>
                <w:szCs w:val="20"/>
              </w:rPr>
              <w:t>0.2</w:t>
            </w:r>
            <w:r w:rsidRPr="00E754FB">
              <w:rPr>
                <w:sz w:val="20"/>
                <w:szCs w:val="20"/>
              </w:rPr>
              <w:t>00</w:t>
            </w:r>
          </w:p>
          <w:p w:rsidR="008E39BB" w:rsidRPr="00E754FB" w:rsidRDefault="008E39BB" w:rsidP="008E39BB">
            <w:pPr>
              <w:jc w:val="center"/>
              <w:rPr>
                <w:sz w:val="20"/>
                <w:szCs w:val="20"/>
              </w:rPr>
            </w:pPr>
            <w:r>
              <w:rPr>
                <w:sz w:val="20"/>
                <w:szCs w:val="20"/>
              </w:rPr>
              <w:t>to 0.250</w:t>
            </w:r>
          </w:p>
        </w:tc>
        <w:tc>
          <w:tcPr>
            <w:tcW w:w="1074" w:type="dxa"/>
            <w:tcBorders>
              <w:top w:val="single" w:sz="4" w:space="0" w:color="auto"/>
              <w:bottom w:val="nil"/>
            </w:tcBorders>
            <w:vAlign w:val="bottom"/>
          </w:tcPr>
          <w:p w:rsidR="008E39BB" w:rsidRPr="00E754FB" w:rsidRDefault="008E39BB" w:rsidP="008E39BB">
            <w:pPr>
              <w:jc w:val="center"/>
              <w:rPr>
                <w:sz w:val="20"/>
                <w:szCs w:val="20"/>
              </w:rPr>
            </w:pPr>
            <w:r>
              <w:rPr>
                <w:sz w:val="20"/>
                <w:szCs w:val="20"/>
              </w:rPr>
              <w:t>Above 0.250</w:t>
            </w:r>
          </w:p>
        </w:tc>
      </w:tr>
      <w:tr w:rsidR="008E39BB" w:rsidRPr="00E754FB" w:rsidTr="00DE2A70">
        <w:trPr>
          <w:trHeight w:val="144"/>
          <w:jc w:val="center"/>
        </w:trPr>
        <w:tc>
          <w:tcPr>
            <w:tcW w:w="2214" w:type="dxa"/>
            <w:tcBorders>
              <w:top w:val="nil"/>
              <w:bottom w:val="single" w:sz="4" w:space="0" w:color="auto"/>
            </w:tcBorders>
            <w:vAlign w:val="bottom"/>
          </w:tcPr>
          <w:p w:rsidR="00877535" w:rsidRDefault="008E39BB" w:rsidP="00DE2A70">
            <w:pPr>
              <w:jc w:val="left"/>
              <w:rPr>
                <w:sz w:val="20"/>
                <w:szCs w:val="20"/>
              </w:rPr>
            </w:pPr>
            <w:r>
              <w:rPr>
                <w:sz w:val="20"/>
                <w:szCs w:val="20"/>
              </w:rPr>
              <w:t>Compustat</w:t>
            </w:r>
          </w:p>
        </w:tc>
        <w:tc>
          <w:tcPr>
            <w:tcW w:w="1180" w:type="dxa"/>
            <w:tcBorders>
              <w:top w:val="nil"/>
              <w:bottom w:val="single" w:sz="4" w:space="0" w:color="auto"/>
            </w:tcBorders>
          </w:tcPr>
          <w:p w:rsidR="008E39BB" w:rsidRDefault="008E39BB" w:rsidP="008E39BB">
            <w:pPr>
              <w:jc w:val="center"/>
              <w:rPr>
                <w:sz w:val="20"/>
                <w:szCs w:val="20"/>
              </w:rPr>
            </w:pPr>
            <w:r>
              <w:rPr>
                <w:sz w:val="20"/>
                <w:szCs w:val="20"/>
              </w:rPr>
              <w:t>(1)</w:t>
            </w:r>
          </w:p>
        </w:tc>
        <w:tc>
          <w:tcPr>
            <w:tcW w:w="1180" w:type="dxa"/>
            <w:tcBorders>
              <w:top w:val="nil"/>
              <w:bottom w:val="single" w:sz="4" w:space="0" w:color="auto"/>
            </w:tcBorders>
          </w:tcPr>
          <w:p w:rsidR="008E39BB" w:rsidRDefault="008E39BB" w:rsidP="008E39BB">
            <w:pPr>
              <w:jc w:val="center"/>
              <w:rPr>
                <w:sz w:val="20"/>
                <w:szCs w:val="20"/>
              </w:rPr>
            </w:pPr>
            <w:r>
              <w:rPr>
                <w:sz w:val="20"/>
                <w:szCs w:val="20"/>
              </w:rPr>
              <w:t>(2)</w:t>
            </w:r>
          </w:p>
        </w:tc>
        <w:tc>
          <w:tcPr>
            <w:tcW w:w="1477" w:type="dxa"/>
            <w:tcBorders>
              <w:top w:val="nil"/>
              <w:bottom w:val="single" w:sz="4" w:space="0" w:color="auto"/>
            </w:tcBorders>
          </w:tcPr>
          <w:p w:rsidR="008E39BB" w:rsidRDefault="008E39BB" w:rsidP="008E39BB">
            <w:pPr>
              <w:jc w:val="center"/>
              <w:rPr>
                <w:sz w:val="20"/>
                <w:szCs w:val="20"/>
              </w:rPr>
            </w:pPr>
            <w:r>
              <w:rPr>
                <w:sz w:val="20"/>
                <w:szCs w:val="20"/>
              </w:rPr>
              <w:t>(3)</w:t>
            </w:r>
          </w:p>
        </w:tc>
        <w:tc>
          <w:tcPr>
            <w:tcW w:w="1329" w:type="dxa"/>
            <w:tcBorders>
              <w:top w:val="nil"/>
              <w:bottom w:val="single" w:sz="4" w:space="0" w:color="auto"/>
            </w:tcBorders>
            <w:vAlign w:val="bottom"/>
          </w:tcPr>
          <w:p w:rsidR="008E39BB" w:rsidRDefault="008E39BB" w:rsidP="008E39BB">
            <w:pPr>
              <w:jc w:val="center"/>
              <w:rPr>
                <w:rFonts w:eastAsia="Calibri" w:cs="Times New Roman"/>
                <w:sz w:val="20"/>
                <w:szCs w:val="20"/>
              </w:rPr>
            </w:pPr>
            <w:r>
              <w:rPr>
                <w:rFonts w:eastAsia="Calibri" w:cs="Times New Roman"/>
                <w:sz w:val="20"/>
                <w:szCs w:val="20"/>
              </w:rPr>
              <w:t>(4)</w:t>
            </w:r>
          </w:p>
        </w:tc>
        <w:tc>
          <w:tcPr>
            <w:tcW w:w="1074" w:type="dxa"/>
            <w:tcBorders>
              <w:top w:val="nil"/>
              <w:bottom w:val="single" w:sz="4" w:space="0" w:color="auto"/>
            </w:tcBorders>
            <w:vAlign w:val="bottom"/>
          </w:tcPr>
          <w:p w:rsidR="008E39BB" w:rsidRPr="00E754FB" w:rsidRDefault="008E39BB" w:rsidP="008E39BB">
            <w:pPr>
              <w:jc w:val="center"/>
              <w:rPr>
                <w:sz w:val="20"/>
                <w:szCs w:val="20"/>
              </w:rPr>
            </w:pPr>
            <w:r>
              <w:rPr>
                <w:sz w:val="20"/>
                <w:szCs w:val="20"/>
              </w:rPr>
              <w:t>(5)</w:t>
            </w:r>
          </w:p>
        </w:tc>
        <w:tc>
          <w:tcPr>
            <w:tcW w:w="1074" w:type="dxa"/>
            <w:tcBorders>
              <w:top w:val="nil"/>
              <w:bottom w:val="single" w:sz="4" w:space="0" w:color="auto"/>
            </w:tcBorders>
            <w:vAlign w:val="bottom"/>
          </w:tcPr>
          <w:p w:rsidR="008E39BB" w:rsidRDefault="008E39BB" w:rsidP="008E39BB">
            <w:pPr>
              <w:jc w:val="center"/>
              <w:rPr>
                <w:sz w:val="20"/>
                <w:szCs w:val="20"/>
              </w:rPr>
            </w:pPr>
            <w:r>
              <w:rPr>
                <w:sz w:val="20"/>
                <w:szCs w:val="20"/>
              </w:rPr>
              <w:t>(6)</w:t>
            </w:r>
          </w:p>
        </w:tc>
        <w:tc>
          <w:tcPr>
            <w:tcW w:w="1074" w:type="dxa"/>
            <w:tcBorders>
              <w:top w:val="nil"/>
              <w:bottom w:val="single" w:sz="4" w:space="0" w:color="auto"/>
            </w:tcBorders>
            <w:vAlign w:val="bottom"/>
          </w:tcPr>
          <w:p w:rsidR="008E39BB" w:rsidRPr="00E754FB" w:rsidRDefault="008E39BB" w:rsidP="008E39BB">
            <w:pPr>
              <w:jc w:val="center"/>
              <w:rPr>
                <w:sz w:val="20"/>
                <w:szCs w:val="20"/>
              </w:rPr>
            </w:pPr>
            <w:r>
              <w:rPr>
                <w:sz w:val="20"/>
                <w:szCs w:val="20"/>
              </w:rPr>
              <w:t>(7)</w:t>
            </w:r>
          </w:p>
        </w:tc>
        <w:tc>
          <w:tcPr>
            <w:tcW w:w="1074" w:type="dxa"/>
            <w:tcBorders>
              <w:top w:val="nil"/>
              <w:bottom w:val="single" w:sz="4" w:space="0" w:color="auto"/>
            </w:tcBorders>
            <w:vAlign w:val="bottom"/>
          </w:tcPr>
          <w:p w:rsidR="008E39BB" w:rsidRDefault="008E39BB" w:rsidP="008E39BB">
            <w:pPr>
              <w:jc w:val="center"/>
              <w:rPr>
                <w:sz w:val="20"/>
                <w:szCs w:val="20"/>
              </w:rPr>
            </w:pPr>
            <w:r>
              <w:rPr>
                <w:sz w:val="20"/>
                <w:szCs w:val="20"/>
              </w:rPr>
              <w:t>(8)</w:t>
            </w:r>
          </w:p>
        </w:tc>
        <w:tc>
          <w:tcPr>
            <w:tcW w:w="1074" w:type="dxa"/>
            <w:tcBorders>
              <w:top w:val="nil"/>
              <w:bottom w:val="single" w:sz="4" w:space="0" w:color="auto"/>
            </w:tcBorders>
            <w:vAlign w:val="bottom"/>
          </w:tcPr>
          <w:p w:rsidR="008E39BB" w:rsidRDefault="008E39BB" w:rsidP="008E39BB">
            <w:pPr>
              <w:jc w:val="center"/>
              <w:rPr>
                <w:sz w:val="20"/>
                <w:szCs w:val="20"/>
              </w:rPr>
            </w:pPr>
            <w:r>
              <w:rPr>
                <w:sz w:val="20"/>
                <w:szCs w:val="20"/>
              </w:rPr>
              <w:t>(9)</w:t>
            </w:r>
          </w:p>
        </w:tc>
        <w:tc>
          <w:tcPr>
            <w:tcW w:w="1074" w:type="dxa"/>
            <w:tcBorders>
              <w:top w:val="nil"/>
              <w:bottom w:val="single" w:sz="4" w:space="0" w:color="auto"/>
            </w:tcBorders>
            <w:vAlign w:val="bottom"/>
          </w:tcPr>
          <w:p w:rsidR="008E39BB" w:rsidRDefault="008E39BB" w:rsidP="008E39BB">
            <w:pPr>
              <w:jc w:val="center"/>
              <w:rPr>
                <w:sz w:val="20"/>
                <w:szCs w:val="20"/>
              </w:rPr>
            </w:pPr>
            <w:r>
              <w:rPr>
                <w:sz w:val="20"/>
                <w:szCs w:val="20"/>
              </w:rPr>
              <w:t>(10)</w:t>
            </w:r>
          </w:p>
        </w:tc>
      </w:tr>
      <w:tr w:rsidR="008E39BB" w:rsidRPr="00E754FB" w:rsidTr="00DE2A70">
        <w:trPr>
          <w:trHeight w:val="144"/>
          <w:jc w:val="center"/>
        </w:trPr>
        <w:tc>
          <w:tcPr>
            <w:tcW w:w="13824" w:type="dxa"/>
            <w:gridSpan w:val="11"/>
            <w:tcBorders>
              <w:top w:val="single" w:sz="4" w:space="0" w:color="auto"/>
              <w:bottom w:val="single" w:sz="4" w:space="0" w:color="auto"/>
            </w:tcBorders>
            <w:vAlign w:val="center"/>
          </w:tcPr>
          <w:p w:rsidR="008E39BB" w:rsidRDefault="007A457D" w:rsidP="007A457D">
            <w:pPr>
              <w:jc w:val="center"/>
              <w:rPr>
                <w:color w:val="000000"/>
                <w:sz w:val="20"/>
                <w:szCs w:val="20"/>
              </w:rPr>
            </w:pPr>
            <w:r>
              <w:rPr>
                <w:color w:val="000000"/>
                <w:sz w:val="20"/>
                <w:szCs w:val="20"/>
              </w:rPr>
              <w:t xml:space="preserve">Panel </w:t>
            </w:r>
            <w:r w:rsidR="008E39BB">
              <w:rPr>
                <w:color w:val="000000"/>
                <w:sz w:val="20"/>
                <w:szCs w:val="20"/>
              </w:rPr>
              <w:t>A. Book Leverage</w:t>
            </w:r>
          </w:p>
        </w:tc>
      </w:tr>
      <w:tr w:rsidR="008E39BB" w:rsidRPr="00E754FB" w:rsidTr="00DE2A70">
        <w:trPr>
          <w:trHeight w:val="144"/>
          <w:jc w:val="center"/>
        </w:trPr>
        <w:tc>
          <w:tcPr>
            <w:tcW w:w="2214" w:type="dxa"/>
            <w:tcBorders>
              <w:top w:val="single" w:sz="4" w:space="0" w:color="auto"/>
            </w:tcBorders>
            <w:vAlign w:val="center"/>
          </w:tcPr>
          <w:p w:rsidR="00877535" w:rsidRDefault="008E39BB" w:rsidP="00DE2A70">
            <w:pPr>
              <w:jc w:val="left"/>
              <w:rPr>
                <w:sz w:val="20"/>
                <w:szCs w:val="20"/>
              </w:rPr>
            </w:pPr>
            <w:r w:rsidRPr="00E754FB">
              <w:rPr>
                <w:sz w:val="20"/>
                <w:szCs w:val="20"/>
              </w:rPr>
              <w:t>20-plus</w:t>
            </w:r>
          </w:p>
        </w:tc>
        <w:tc>
          <w:tcPr>
            <w:tcW w:w="1180" w:type="dxa"/>
            <w:tcBorders>
              <w:top w:val="single" w:sz="4" w:space="0" w:color="auto"/>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0.115</w:t>
            </w:r>
          </w:p>
        </w:tc>
        <w:tc>
          <w:tcPr>
            <w:tcW w:w="1180" w:type="dxa"/>
            <w:tcBorders>
              <w:top w:val="single" w:sz="4" w:space="0" w:color="auto"/>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0.106</w:t>
            </w:r>
          </w:p>
        </w:tc>
        <w:tc>
          <w:tcPr>
            <w:tcW w:w="1477" w:type="dxa"/>
            <w:tcBorders>
              <w:top w:val="single" w:sz="4" w:space="0" w:color="auto"/>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0.054</w:t>
            </w:r>
          </w:p>
        </w:tc>
        <w:tc>
          <w:tcPr>
            <w:tcW w:w="1329" w:type="dxa"/>
            <w:tcBorders>
              <w:top w:val="single" w:sz="4" w:space="0" w:color="auto"/>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0.926</w:t>
            </w:r>
          </w:p>
        </w:tc>
        <w:tc>
          <w:tcPr>
            <w:tcW w:w="1074" w:type="dxa"/>
            <w:tcBorders>
              <w:top w:val="single" w:sz="4" w:space="0" w:color="auto"/>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7.5%</w:t>
            </w:r>
          </w:p>
        </w:tc>
        <w:tc>
          <w:tcPr>
            <w:tcW w:w="1074" w:type="dxa"/>
            <w:tcBorders>
              <w:top w:val="single" w:sz="4" w:space="0" w:color="auto"/>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37.6%</w:t>
            </w:r>
          </w:p>
        </w:tc>
        <w:tc>
          <w:tcPr>
            <w:tcW w:w="1074" w:type="dxa"/>
            <w:tcBorders>
              <w:top w:val="single" w:sz="4" w:space="0" w:color="auto"/>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32.6%</w:t>
            </w:r>
          </w:p>
        </w:tc>
        <w:tc>
          <w:tcPr>
            <w:tcW w:w="1074" w:type="dxa"/>
            <w:tcBorders>
              <w:top w:val="single" w:sz="4" w:space="0" w:color="auto"/>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14.5%</w:t>
            </w:r>
          </w:p>
        </w:tc>
        <w:tc>
          <w:tcPr>
            <w:tcW w:w="1074" w:type="dxa"/>
            <w:tcBorders>
              <w:top w:val="single" w:sz="4" w:space="0" w:color="auto"/>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5.9%</w:t>
            </w:r>
          </w:p>
        </w:tc>
        <w:tc>
          <w:tcPr>
            <w:tcW w:w="1074" w:type="dxa"/>
            <w:tcBorders>
              <w:top w:val="single" w:sz="4" w:space="0" w:color="auto"/>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1.8%</w:t>
            </w:r>
          </w:p>
        </w:tc>
      </w:tr>
      <w:tr w:rsidR="008E39BB" w:rsidRPr="00E754FB" w:rsidTr="008E39BB">
        <w:trPr>
          <w:trHeight w:val="144"/>
          <w:jc w:val="center"/>
        </w:trPr>
        <w:tc>
          <w:tcPr>
            <w:tcW w:w="2214" w:type="dxa"/>
            <w:vAlign w:val="center"/>
          </w:tcPr>
          <w:p w:rsidR="00877535" w:rsidRDefault="008E39BB" w:rsidP="00DE2A70">
            <w:pPr>
              <w:jc w:val="left"/>
              <w:rPr>
                <w:sz w:val="20"/>
                <w:szCs w:val="20"/>
              </w:rPr>
            </w:pPr>
            <w:r w:rsidRPr="00E754FB">
              <w:rPr>
                <w:sz w:val="20"/>
                <w:szCs w:val="20"/>
              </w:rPr>
              <w:t>15 to 19</w:t>
            </w:r>
          </w:p>
        </w:tc>
        <w:tc>
          <w:tcPr>
            <w:tcW w:w="1180"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0.116</w:t>
            </w:r>
          </w:p>
        </w:tc>
        <w:tc>
          <w:tcPr>
            <w:tcW w:w="1180"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0.106</w:t>
            </w:r>
          </w:p>
        </w:tc>
        <w:tc>
          <w:tcPr>
            <w:tcW w:w="1477"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0.064</w:t>
            </w:r>
          </w:p>
        </w:tc>
        <w:tc>
          <w:tcPr>
            <w:tcW w:w="1329"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0.957</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13.3%</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32.9%</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28.8%</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14.3%</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6.9%</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3.9%</w:t>
            </w:r>
          </w:p>
        </w:tc>
      </w:tr>
      <w:tr w:rsidR="008E39BB" w:rsidRPr="00E754FB" w:rsidTr="008E39BB">
        <w:trPr>
          <w:trHeight w:val="144"/>
          <w:jc w:val="center"/>
        </w:trPr>
        <w:tc>
          <w:tcPr>
            <w:tcW w:w="2214" w:type="dxa"/>
            <w:vAlign w:val="center"/>
          </w:tcPr>
          <w:p w:rsidR="00877535" w:rsidRDefault="008E39BB" w:rsidP="00DE2A70">
            <w:pPr>
              <w:jc w:val="left"/>
              <w:rPr>
                <w:sz w:val="20"/>
                <w:szCs w:val="20"/>
              </w:rPr>
            </w:pPr>
            <w:r w:rsidRPr="00E754FB">
              <w:rPr>
                <w:sz w:val="20"/>
                <w:szCs w:val="20"/>
              </w:rPr>
              <w:t>10 to 14</w:t>
            </w:r>
          </w:p>
        </w:tc>
        <w:tc>
          <w:tcPr>
            <w:tcW w:w="1180"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0.108</w:t>
            </w:r>
          </w:p>
        </w:tc>
        <w:tc>
          <w:tcPr>
            <w:tcW w:w="1180"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0.098</w:t>
            </w:r>
          </w:p>
        </w:tc>
        <w:tc>
          <w:tcPr>
            <w:tcW w:w="1477"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0.069</w:t>
            </w:r>
          </w:p>
        </w:tc>
        <w:tc>
          <w:tcPr>
            <w:tcW w:w="1329"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0.968</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20.4%</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30.5%</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24.5%</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14.3%</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6.4%</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3.9%</w:t>
            </w:r>
          </w:p>
        </w:tc>
      </w:tr>
      <w:tr w:rsidR="008E39BB" w:rsidRPr="00E754FB" w:rsidTr="008E39BB">
        <w:trPr>
          <w:trHeight w:val="144"/>
          <w:jc w:val="center"/>
        </w:trPr>
        <w:tc>
          <w:tcPr>
            <w:tcW w:w="2214" w:type="dxa"/>
            <w:vAlign w:val="center"/>
          </w:tcPr>
          <w:p w:rsidR="00877535" w:rsidRDefault="008E39BB" w:rsidP="00DE2A70">
            <w:pPr>
              <w:jc w:val="left"/>
              <w:rPr>
                <w:sz w:val="20"/>
                <w:szCs w:val="20"/>
              </w:rPr>
            </w:pPr>
            <w:r w:rsidRPr="00E754FB">
              <w:rPr>
                <w:sz w:val="20"/>
                <w:szCs w:val="20"/>
              </w:rPr>
              <w:t>5 to 9</w:t>
            </w:r>
          </w:p>
        </w:tc>
        <w:tc>
          <w:tcPr>
            <w:tcW w:w="1180"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0.098</w:t>
            </w:r>
          </w:p>
        </w:tc>
        <w:tc>
          <w:tcPr>
            <w:tcW w:w="1180"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0.084</w:t>
            </w:r>
          </w:p>
        </w:tc>
        <w:tc>
          <w:tcPr>
            <w:tcW w:w="1477"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0.075</w:t>
            </w:r>
          </w:p>
        </w:tc>
        <w:tc>
          <w:tcPr>
            <w:tcW w:w="1329"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0.982</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29.9%</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28.9%</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19.3%</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11.8%</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5.3%</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4.9%</w:t>
            </w:r>
          </w:p>
        </w:tc>
      </w:tr>
      <w:tr w:rsidR="008E39BB" w:rsidRPr="00E754FB" w:rsidTr="008E39BB">
        <w:trPr>
          <w:trHeight w:val="144"/>
          <w:jc w:val="center"/>
        </w:trPr>
        <w:tc>
          <w:tcPr>
            <w:tcW w:w="2214" w:type="dxa"/>
            <w:vAlign w:val="center"/>
          </w:tcPr>
          <w:p w:rsidR="00877535" w:rsidRDefault="008E39BB" w:rsidP="00DE2A70">
            <w:pPr>
              <w:jc w:val="left"/>
              <w:rPr>
                <w:sz w:val="20"/>
                <w:szCs w:val="20"/>
              </w:rPr>
            </w:pPr>
            <w:r w:rsidRPr="00E754FB">
              <w:rPr>
                <w:sz w:val="20"/>
                <w:szCs w:val="20"/>
              </w:rPr>
              <w:t>2 to 4</w:t>
            </w:r>
          </w:p>
        </w:tc>
        <w:tc>
          <w:tcPr>
            <w:tcW w:w="1180"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0.073</w:t>
            </w:r>
          </w:p>
        </w:tc>
        <w:tc>
          <w:tcPr>
            <w:tcW w:w="1180"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0.049</w:t>
            </w:r>
          </w:p>
        </w:tc>
        <w:tc>
          <w:tcPr>
            <w:tcW w:w="1477"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0.077</w:t>
            </w:r>
          </w:p>
        </w:tc>
        <w:tc>
          <w:tcPr>
            <w:tcW w:w="1329"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0.990</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50.6%</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20.9%</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13.5%</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7.4%</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4.0%</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3.6%</w:t>
            </w:r>
          </w:p>
        </w:tc>
      </w:tr>
      <w:tr w:rsidR="008E39BB" w:rsidRPr="00E754FB" w:rsidTr="008E39BB">
        <w:trPr>
          <w:trHeight w:val="144"/>
          <w:jc w:val="center"/>
        </w:trPr>
        <w:tc>
          <w:tcPr>
            <w:tcW w:w="2214" w:type="dxa"/>
            <w:vAlign w:val="center"/>
          </w:tcPr>
          <w:p w:rsidR="00877535" w:rsidRDefault="008E39BB" w:rsidP="00DE2A70">
            <w:pPr>
              <w:jc w:val="left"/>
              <w:rPr>
                <w:sz w:val="20"/>
                <w:szCs w:val="20"/>
              </w:rPr>
            </w:pPr>
            <w:r>
              <w:rPr>
                <w:sz w:val="20"/>
                <w:szCs w:val="20"/>
              </w:rPr>
              <w:t>Full sample</w:t>
            </w:r>
          </w:p>
        </w:tc>
        <w:tc>
          <w:tcPr>
            <w:tcW w:w="1180"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0.098</w:t>
            </w:r>
          </w:p>
        </w:tc>
        <w:tc>
          <w:tcPr>
            <w:tcW w:w="1180"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0.088</w:t>
            </w:r>
          </w:p>
        </w:tc>
        <w:tc>
          <w:tcPr>
            <w:tcW w:w="1477"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0.072</w:t>
            </w:r>
          </w:p>
        </w:tc>
        <w:tc>
          <w:tcPr>
            <w:tcW w:w="1329"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0.941</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27.6%</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29.2%</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22.3%</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11.9%</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5.4%</w:t>
            </w:r>
          </w:p>
        </w:tc>
        <w:tc>
          <w:tcPr>
            <w:tcW w:w="1074" w:type="dxa"/>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3.7%</w:t>
            </w:r>
          </w:p>
        </w:tc>
      </w:tr>
      <w:tr w:rsidR="008E39BB" w:rsidRPr="00E754FB" w:rsidTr="008E39BB">
        <w:trPr>
          <w:trHeight w:val="144"/>
          <w:jc w:val="center"/>
        </w:trPr>
        <w:tc>
          <w:tcPr>
            <w:tcW w:w="2214" w:type="dxa"/>
            <w:tcBorders>
              <w:bottom w:val="nil"/>
            </w:tcBorders>
            <w:vAlign w:val="center"/>
          </w:tcPr>
          <w:p w:rsidR="00877535" w:rsidRDefault="009D2579" w:rsidP="00DE2A70">
            <w:pPr>
              <w:jc w:val="left"/>
              <w:rPr>
                <w:sz w:val="20"/>
                <w:szCs w:val="20"/>
              </w:rPr>
            </w:pPr>
            <w:r>
              <w:rPr>
                <w:sz w:val="20"/>
                <w:szCs w:val="20"/>
              </w:rPr>
              <w:t>Constant-comp</w:t>
            </w:r>
            <w:r w:rsidR="008E39BB">
              <w:rPr>
                <w:sz w:val="20"/>
                <w:szCs w:val="20"/>
              </w:rPr>
              <w:t xml:space="preserve"> sample</w:t>
            </w:r>
          </w:p>
        </w:tc>
        <w:tc>
          <w:tcPr>
            <w:tcW w:w="1180" w:type="dxa"/>
            <w:tcBorders>
              <w:bottom w:val="nil"/>
            </w:tcBorders>
            <w:vAlign w:val="center"/>
          </w:tcPr>
          <w:p w:rsidR="008E39BB" w:rsidRPr="00695DDF" w:rsidRDefault="008E39BB" w:rsidP="008E39BB">
            <w:pPr>
              <w:pStyle w:val="ListParagraph"/>
              <w:ind w:left="0"/>
              <w:jc w:val="center"/>
              <w:rPr>
                <w:rFonts w:cs="Times New Roman"/>
                <w:sz w:val="20"/>
                <w:szCs w:val="20"/>
              </w:rPr>
            </w:pPr>
            <w:r w:rsidRPr="00695DDF">
              <w:rPr>
                <w:rFonts w:eastAsia="Times New Roman" w:cs="Times New Roman"/>
                <w:color w:val="000000"/>
                <w:sz w:val="20"/>
                <w:szCs w:val="20"/>
              </w:rPr>
              <w:t>0.109</w:t>
            </w:r>
          </w:p>
        </w:tc>
        <w:tc>
          <w:tcPr>
            <w:tcW w:w="1180" w:type="dxa"/>
            <w:tcBorders>
              <w:bottom w:val="nil"/>
            </w:tcBorders>
            <w:vAlign w:val="center"/>
          </w:tcPr>
          <w:p w:rsidR="008E39BB" w:rsidRPr="00695DDF" w:rsidRDefault="008E39BB" w:rsidP="008E39BB">
            <w:pPr>
              <w:pStyle w:val="ListParagraph"/>
              <w:ind w:left="0"/>
              <w:jc w:val="center"/>
              <w:rPr>
                <w:rFonts w:cs="Times New Roman"/>
                <w:sz w:val="20"/>
                <w:szCs w:val="20"/>
              </w:rPr>
            </w:pPr>
            <w:r w:rsidRPr="00695DDF">
              <w:rPr>
                <w:rFonts w:eastAsia="Times New Roman" w:cs="Times New Roman"/>
                <w:color w:val="000000"/>
                <w:sz w:val="20"/>
                <w:szCs w:val="20"/>
              </w:rPr>
              <w:t>0.106</w:t>
            </w:r>
          </w:p>
        </w:tc>
        <w:tc>
          <w:tcPr>
            <w:tcW w:w="1477" w:type="dxa"/>
            <w:tcBorders>
              <w:bottom w:val="nil"/>
            </w:tcBorders>
            <w:vAlign w:val="center"/>
          </w:tcPr>
          <w:p w:rsidR="008E39BB" w:rsidRPr="00695DDF" w:rsidRDefault="008E39BB" w:rsidP="008E39BB">
            <w:pPr>
              <w:pStyle w:val="ListParagraph"/>
              <w:ind w:left="0"/>
              <w:jc w:val="center"/>
              <w:rPr>
                <w:rFonts w:cs="Times New Roman"/>
                <w:sz w:val="20"/>
                <w:szCs w:val="20"/>
              </w:rPr>
            </w:pPr>
            <w:r w:rsidRPr="00695DDF">
              <w:rPr>
                <w:rFonts w:eastAsia="Times New Roman" w:cs="Times New Roman"/>
                <w:color w:val="000000"/>
                <w:sz w:val="20"/>
                <w:szCs w:val="20"/>
              </w:rPr>
              <w:t>0.040</w:t>
            </w:r>
          </w:p>
        </w:tc>
        <w:tc>
          <w:tcPr>
            <w:tcW w:w="1329" w:type="dxa"/>
            <w:tcBorders>
              <w:bottom w:val="nil"/>
            </w:tcBorders>
            <w:vAlign w:val="center"/>
          </w:tcPr>
          <w:p w:rsidR="008E39BB" w:rsidRPr="00695DDF" w:rsidRDefault="008E39BB" w:rsidP="008E39BB">
            <w:pPr>
              <w:pStyle w:val="ListParagraph"/>
              <w:ind w:left="0"/>
              <w:jc w:val="center"/>
              <w:rPr>
                <w:rFonts w:cs="Times New Roman"/>
                <w:sz w:val="20"/>
                <w:szCs w:val="20"/>
              </w:rPr>
            </w:pPr>
            <w:r w:rsidRPr="00695DDF">
              <w:rPr>
                <w:rFonts w:eastAsia="Times New Roman" w:cs="Times New Roman"/>
                <w:color w:val="000000"/>
                <w:sz w:val="20"/>
                <w:szCs w:val="20"/>
              </w:rPr>
              <w:t>0.859</w:t>
            </w:r>
          </w:p>
        </w:tc>
        <w:tc>
          <w:tcPr>
            <w:tcW w:w="1074" w:type="dxa"/>
            <w:tcBorders>
              <w:bottom w:val="nil"/>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2.6%</w:t>
            </w:r>
          </w:p>
        </w:tc>
        <w:tc>
          <w:tcPr>
            <w:tcW w:w="1074" w:type="dxa"/>
            <w:tcBorders>
              <w:bottom w:val="nil"/>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43.3%</w:t>
            </w:r>
          </w:p>
        </w:tc>
        <w:tc>
          <w:tcPr>
            <w:tcW w:w="1074" w:type="dxa"/>
            <w:tcBorders>
              <w:bottom w:val="nil"/>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40.1%</w:t>
            </w:r>
          </w:p>
        </w:tc>
        <w:tc>
          <w:tcPr>
            <w:tcW w:w="1074" w:type="dxa"/>
            <w:tcBorders>
              <w:bottom w:val="nil"/>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9.6%</w:t>
            </w:r>
          </w:p>
        </w:tc>
        <w:tc>
          <w:tcPr>
            <w:tcW w:w="1074" w:type="dxa"/>
            <w:tcBorders>
              <w:bottom w:val="nil"/>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3.8%</w:t>
            </w:r>
          </w:p>
        </w:tc>
        <w:tc>
          <w:tcPr>
            <w:tcW w:w="1074" w:type="dxa"/>
            <w:tcBorders>
              <w:bottom w:val="nil"/>
            </w:tcBorders>
            <w:vAlign w:val="center"/>
          </w:tcPr>
          <w:p w:rsidR="008E39BB" w:rsidRPr="00695DDF" w:rsidRDefault="008E39BB" w:rsidP="008E39BB">
            <w:pPr>
              <w:jc w:val="center"/>
              <w:rPr>
                <w:rFonts w:cs="Times New Roman"/>
                <w:color w:val="000000"/>
                <w:sz w:val="20"/>
                <w:szCs w:val="20"/>
              </w:rPr>
            </w:pPr>
            <w:r w:rsidRPr="00695DDF">
              <w:rPr>
                <w:rFonts w:eastAsia="Times New Roman" w:cs="Times New Roman"/>
                <w:color w:val="000000"/>
                <w:sz w:val="20"/>
                <w:szCs w:val="20"/>
              </w:rPr>
              <w:t>0.6%</w:t>
            </w:r>
          </w:p>
        </w:tc>
      </w:tr>
      <w:tr w:rsidR="008E39BB" w:rsidRPr="00E754FB" w:rsidTr="00DE2A70">
        <w:trPr>
          <w:trHeight w:val="144"/>
          <w:jc w:val="center"/>
        </w:trPr>
        <w:tc>
          <w:tcPr>
            <w:tcW w:w="2214" w:type="dxa"/>
            <w:tcBorders>
              <w:bottom w:val="single" w:sz="4" w:space="0" w:color="auto"/>
            </w:tcBorders>
            <w:vAlign w:val="center"/>
          </w:tcPr>
          <w:p w:rsidR="00877535" w:rsidRDefault="00877535" w:rsidP="00DE2A70">
            <w:pPr>
              <w:jc w:val="left"/>
              <w:rPr>
                <w:rFonts w:ascii="Tahoma" w:hAnsi="Tahoma" w:cs="Tahoma"/>
                <w:sz w:val="20"/>
                <w:szCs w:val="20"/>
              </w:rPr>
            </w:pPr>
          </w:p>
        </w:tc>
        <w:tc>
          <w:tcPr>
            <w:tcW w:w="1180" w:type="dxa"/>
            <w:tcBorders>
              <w:bottom w:val="single" w:sz="4" w:space="0" w:color="auto"/>
            </w:tcBorders>
            <w:vAlign w:val="center"/>
          </w:tcPr>
          <w:p w:rsidR="008E39BB" w:rsidRPr="009711A6" w:rsidRDefault="008E39BB" w:rsidP="008E39BB">
            <w:pPr>
              <w:pStyle w:val="ListParagraph"/>
              <w:ind w:left="0"/>
              <w:jc w:val="center"/>
              <w:rPr>
                <w:rFonts w:eastAsia="Times New Roman" w:cs="Times New Roman"/>
                <w:color w:val="000000"/>
                <w:sz w:val="20"/>
                <w:szCs w:val="20"/>
              </w:rPr>
            </w:pPr>
          </w:p>
        </w:tc>
        <w:tc>
          <w:tcPr>
            <w:tcW w:w="1180" w:type="dxa"/>
            <w:tcBorders>
              <w:bottom w:val="single" w:sz="4" w:space="0" w:color="auto"/>
            </w:tcBorders>
            <w:vAlign w:val="center"/>
          </w:tcPr>
          <w:p w:rsidR="008E39BB" w:rsidRPr="009711A6" w:rsidRDefault="008E39BB" w:rsidP="008E39BB">
            <w:pPr>
              <w:pStyle w:val="ListParagraph"/>
              <w:ind w:left="0"/>
              <w:jc w:val="center"/>
              <w:rPr>
                <w:rFonts w:eastAsia="Times New Roman" w:cs="Times New Roman"/>
                <w:color w:val="000000"/>
                <w:sz w:val="20"/>
                <w:szCs w:val="20"/>
              </w:rPr>
            </w:pPr>
          </w:p>
        </w:tc>
        <w:tc>
          <w:tcPr>
            <w:tcW w:w="1477" w:type="dxa"/>
            <w:tcBorders>
              <w:bottom w:val="single" w:sz="4" w:space="0" w:color="auto"/>
            </w:tcBorders>
            <w:vAlign w:val="center"/>
          </w:tcPr>
          <w:p w:rsidR="008E39BB" w:rsidRPr="009711A6" w:rsidRDefault="008E39BB" w:rsidP="008E39BB">
            <w:pPr>
              <w:pStyle w:val="ListParagraph"/>
              <w:ind w:left="0"/>
              <w:jc w:val="center"/>
              <w:rPr>
                <w:rFonts w:eastAsia="Times New Roman" w:cs="Times New Roman"/>
                <w:color w:val="000000"/>
                <w:sz w:val="20"/>
                <w:szCs w:val="20"/>
              </w:rPr>
            </w:pPr>
          </w:p>
        </w:tc>
        <w:tc>
          <w:tcPr>
            <w:tcW w:w="1329" w:type="dxa"/>
            <w:tcBorders>
              <w:bottom w:val="single" w:sz="4" w:space="0" w:color="auto"/>
            </w:tcBorders>
            <w:vAlign w:val="center"/>
          </w:tcPr>
          <w:p w:rsidR="008E39BB" w:rsidRPr="009711A6" w:rsidRDefault="008E39BB" w:rsidP="008E39BB">
            <w:pPr>
              <w:pStyle w:val="ListParagraph"/>
              <w:ind w:left="0"/>
              <w:jc w:val="center"/>
              <w:rPr>
                <w:rFonts w:eastAsia="Times New Roman" w:cs="Times New Roman"/>
                <w:color w:val="000000"/>
                <w:sz w:val="20"/>
                <w:szCs w:val="20"/>
              </w:rPr>
            </w:pPr>
          </w:p>
        </w:tc>
        <w:tc>
          <w:tcPr>
            <w:tcW w:w="1074" w:type="dxa"/>
            <w:tcBorders>
              <w:bottom w:val="single" w:sz="4" w:space="0" w:color="auto"/>
            </w:tcBorders>
            <w:vAlign w:val="center"/>
          </w:tcPr>
          <w:p w:rsidR="008E39BB" w:rsidRPr="009711A6" w:rsidRDefault="008E39BB" w:rsidP="008E39BB">
            <w:pPr>
              <w:jc w:val="center"/>
              <w:rPr>
                <w:rFonts w:eastAsia="Times New Roman" w:cs="Times New Roman"/>
                <w:color w:val="000000"/>
                <w:sz w:val="20"/>
                <w:szCs w:val="20"/>
              </w:rPr>
            </w:pPr>
          </w:p>
        </w:tc>
        <w:tc>
          <w:tcPr>
            <w:tcW w:w="1074" w:type="dxa"/>
            <w:tcBorders>
              <w:bottom w:val="single" w:sz="4" w:space="0" w:color="auto"/>
            </w:tcBorders>
            <w:vAlign w:val="center"/>
          </w:tcPr>
          <w:p w:rsidR="008E39BB" w:rsidRPr="009711A6" w:rsidRDefault="008E39BB" w:rsidP="008E39BB">
            <w:pPr>
              <w:jc w:val="center"/>
              <w:rPr>
                <w:rFonts w:eastAsia="Times New Roman" w:cs="Times New Roman"/>
                <w:color w:val="000000"/>
                <w:sz w:val="20"/>
                <w:szCs w:val="20"/>
              </w:rPr>
            </w:pPr>
          </w:p>
        </w:tc>
        <w:tc>
          <w:tcPr>
            <w:tcW w:w="1074" w:type="dxa"/>
            <w:tcBorders>
              <w:bottom w:val="single" w:sz="4" w:space="0" w:color="auto"/>
            </w:tcBorders>
            <w:vAlign w:val="center"/>
          </w:tcPr>
          <w:p w:rsidR="008E39BB" w:rsidRPr="009711A6" w:rsidRDefault="008E39BB" w:rsidP="008E39BB">
            <w:pPr>
              <w:jc w:val="center"/>
              <w:rPr>
                <w:rFonts w:eastAsia="Times New Roman" w:cs="Times New Roman"/>
                <w:color w:val="000000"/>
                <w:sz w:val="20"/>
                <w:szCs w:val="20"/>
              </w:rPr>
            </w:pPr>
          </w:p>
        </w:tc>
        <w:tc>
          <w:tcPr>
            <w:tcW w:w="1074" w:type="dxa"/>
            <w:tcBorders>
              <w:bottom w:val="single" w:sz="4" w:space="0" w:color="auto"/>
            </w:tcBorders>
            <w:vAlign w:val="center"/>
          </w:tcPr>
          <w:p w:rsidR="008E39BB" w:rsidRPr="009711A6" w:rsidRDefault="008E39BB" w:rsidP="008E39BB">
            <w:pPr>
              <w:jc w:val="center"/>
              <w:rPr>
                <w:rFonts w:eastAsia="Times New Roman" w:cs="Times New Roman"/>
                <w:color w:val="000000"/>
                <w:sz w:val="20"/>
                <w:szCs w:val="20"/>
              </w:rPr>
            </w:pPr>
          </w:p>
        </w:tc>
        <w:tc>
          <w:tcPr>
            <w:tcW w:w="1074" w:type="dxa"/>
            <w:tcBorders>
              <w:bottom w:val="single" w:sz="4" w:space="0" w:color="auto"/>
            </w:tcBorders>
            <w:vAlign w:val="center"/>
          </w:tcPr>
          <w:p w:rsidR="008E39BB" w:rsidRPr="009711A6" w:rsidRDefault="008E39BB" w:rsidP="008E39BB">
            <w:pPr>
              <w:jc w:val="center"/>
              <w:rPr>
                <w:rFonts w:eastAsia="Times New Roman" w:cs="Times New Roman"/>
                <w:color w:val="000000"/>
                <w:sz w:val="20"/>
                <w:szCs w:val="20"/>
              </w:rPr>
            </w:pPr>
          </w:p>
        </w:tc>
        <w:tc>
          <w:tcPr>
            <w:tcW w:w="1074" w:type="dxa"/>
            <w:tcBorders>
              <w:bottom w:val="single" w:sz="4" w:space="0" w:color="auto"/>
            </w:tcBorders>
            <w:vAlign w:val="center"/>
          </w:tcPr>
          <w:p w:rsidR="008E39BB" w:rsidRPr="009711A6" w:rsidRDefault="008E39BB" w:rsidP="008E39BB">
            <w:pPr>
              <w:jc w:val="center"/>
              <w:rPr>
                <w:rFonts w:eastAsia="Times New Roman" w:cs="Times New Roman"/>
                <w:color w:val="000000"/>
                <w:sz w:val="20"/>
                <w:szCs w:val="20"/>
              </w:rPr>
            </w:pPr>
          </w:p>
        </w:tc>
      </w:tr>
      <w:tr w:rsidR="008E39BB" w:rsidRPr="00E754FB" w:rsidTr="00DE2A70">
        <w:trPr>
          <w:trHeight w:val="144"/>
          <w:jc w:val="center"/>
        </w:trPr>
        <w:tc>
          <w:tcPr>
            <w:tcW w:w="13824" w:type="dxa"/>
            <w:gridSpan w:val="11"/>
            <w:tcBorders>
              <w:top w:val="single" w:sz="4" w:space="0" w:color="auto"/>
              <w:bottom w:val="single" w:sz="4" w:space="0" w:color="auto"/>
            </w:tcBorders>
            <w:vAlign w:val="center"/>
          </w:tcPr>
          <w:p w:rsidR="008E39BB" w:rsidRDefault="007A457D" w:rsidP="007A457D">
            <w:pPr>
              <w:jc w:val="center"/>
              <w:rPr>
                <w:color w:val="000000"/>
                <w:sz w:val="20"/>
                <w:szCs w:val="20"/>
              </w:rPr>
            </w:pPr>
            <w:r>
              <w:rPr>
                <w:color w:val="000000"/>
                <w:sz w:val="20"/>
                <w:szCs w:val="20"/>
              </w:rPr>
              <w:t xml:space="preserve">Panel </w:t>
            </w:r>
            <w:r w:rsidR="008E39BB">
              <w:rPr>
                <w:color w:val="000000"/>
                <w:sz w:val="20"/>
                <w:szCs w:val="20"/>
              </w:rPr>
              <w:t>B. Market Leverage</w:t>
            </w:r>
          </w:p>
        </w:tc>
      </w:tr>
      <w:tr w:rsidR="008E39BB" w:rsidRPr="00051401" w:rsidTr="00DE2A70">
        <w:trPr>
          <w:trHeight w:val="144"/>
          <w:jc w:val="center"/>
        </w:trPr>
        <w:tc>
          <w:tcPr>
            <w:tcW w:w="2214" w:type="dxa"/>
            <w:tcBorders>
              <w:top w:val="single" w:sz="4" w:space="0" w:color="auto"/>
            </w:tcBorders>
            <w:vAlign w:val="center"/>
          </w:tcPr>
          <w:p w:rsidR="00877535" w:rsidRDefault="008E39BB" w:rsidP="00DE2A70">
            <w:pPr>
              <w:jc w:val="left"/>
              <w:rPr>
                <w:rFonts w:cs="Times New Roman"/>
                <w:sz w:val="20"/>
                <w:szCs w:val="20"/>
              </w:rPr>
            </w:pPr>
            <w:r w:rsidRPr="00051401">
              <w:rPr>
                <w:rFonts w:cs="Times New Roman"/>
                <w:sz w:val="20"/>
                <w:szCs w:val="20"/>
              </w:rPr>
              <w:t>20-plus</w:t>
            </w:r>
          </w:p>
        </w:tc>
        <w:tc>
          <w:tcPr>
            <w:tcW w:w="1180" w:type="dxa"/>
            <w:tcBorders>
              <w:top w:val="single" w:sz="4" w:space="0" w:color="auto"/>
            </w:tcBorders>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0.146</w:t>
            </w:r>
          </w:p>
        </w:tc>
        <w:tc>
          <w:tcPr>
            <w:tcW w:w="1180" w:type="dxa"/>
            <w:tcBorders>
              <w:top w:val="single" w:sz="4" w:space="0" w:color="auto"/>
            </w:tcBorders>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0.144</w:t>
            </w:r>
          </w:p>
        </w:tc>
        <w:tc>
          <w:tcPr>
            <w:tcW w:w="1477" w:type="dxa"/>
            <w:tcBorders>
              <w:top w:val="single" w:sz="4" w:space="0" w:color="auto"/>
            </w:tcBorders>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0.067</w:t>
            </w:r>
          </w:p>
        </w:tc>
        <w:tc>
          <w:tcPr>
            <w:tcW w:w="1329" w:type="dxa"/>
            <w:tcBorders>
              <w:top w:val="single" w:sz="4" w:space="0" w:color="auto"/>
            </w:tcBorders>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0.944</w:t>
            </w:r>
          </w:p>
        </w:tc>
        <w:tc>
          <w:tcPr>
            <w:tcW w:w="1074" w:type="dxa"/>
            <w:tcBorders>
              <w:top w:val="single" w:sz="4" w:space="0" w:color="auto"/>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7.8%</w:t>
            </w:r>
          </w:p>
        </w:tc>
        <w:tc>
          <w:tcPr>
            <w:tcW w:w="1074" w:type="dxa"/>
            <w:tcBorders>
              <w:top w:val="single" w:sz="4" w:space="0" w:color="auto"/>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18.1%</w:t>
            </w:r>
          </w:p>
        </w:tc>
        <w:tc>
          <w:tcPr>
            <w:tcW w:w="1074" w:type="dxa"/>
            <w:tcBorders>
              <w:top w:val="single" w:sz="4" w:space="0" w:color="auto"/>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28.0%</w:t>
            </w:r>
          </w:p>
        </w:tc>
        <w:tc>
          <w:tcPr>
            <w:tcW w:w="1074" w:type="dxa"/>
            <w:tcBorders>
              <w:top w:val="single" w:sz="4" w:space="0" w:color="auto"/>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23.9%</w:t>
            </w:r>
          </w:p>
        </w:tc>
        <w:tc>
          <w:tcPr>
            <w:tcW w:w="1074" w:type="dxa"/>
            <w:tcBorders>
              <w:top w:val="single" w:sz="4" w:space="0" w:color="auto"/>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15.7%</w:t>
            </w:r>
          </w:p>
        </w:tc>
        <w:tc>
          <w:tcPr>
            <w:tcW w:w="1074" w:type="dxa"/>
            <w:tcBorders>
              <w:top w:val="single" w:sz="4" w:space="0" w:color="auto"/>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6.6%</w:t>
            </w:r>
          </w:p>
        </w:tc>
      </w:tr>
      <w:tr w:rsidR="008E39BB" w:rsidRPr="00051401" w:rsidTr="008E39BB">
        <w:trPr>
          <w:trHeight w:val="144"/>
          <w:jc w:val="center"/>
        </w:trPr>
        <w:tc>
          <w:tcPr>
            <w:tcW w:w="2214" w:type="dxa"/>
            <w:vAlign w:val="center"/>
          </w:tcPr>
          <w:p w:rsidR="00877535" w:rsidRDefault="008E39BB" w:rsidP="00DE2A70">
            <w:pPr>
              <w:jc w:val="left"/>
              <w:rPr>
                <w:rFonts w:cs="Times New Roman"/>
                <w:sz w:val="20"/>
                <w:szCs w:val="20"/>
              </w:rPr>
            </w:pPr>
            <w:r w:rsidRPr="00051401">
              <w:rPr>
                <w:rFonts w:cs="Times New Roman"/>
                <w:sz w:val="20"/>
                <w:szCs w:val="20"/>
              </w:rPr>
              <w:t>15 to 19</w:t>
            </w:r>
          </w:p>
        </w:tc>
        <w:tc>
          <w:tcPr>
            <w:tcW w:w="1180"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0.137</w:t>
            </w:r>
          </w:p>
        </w:tc>
        <w:tc>
          <w:tcPr>
            <w:tcW w:w="1180"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0.136</w:t>
            </w:r>
          </w:p>
        </w:tc>
        <w:tc>
          <w:tcPr>
            <w:tcW w:w="1477"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0.077</w:t>
            </w:r>
          </w:p>
        </w:tc>
        <w:tc>
          <w:tcPr>
            <w:tcW w:w="1329"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0.966</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14.6%</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19.3%</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24.0%</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21.8%</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11.7%</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8.7%</w:t>
            </w:r>
          </w:p>
        </w:tc>
      </w:tr>
      <w:tr w:rsidR="008E39BB" w:rsidRPr="00051401" w:rsidTr="008E39BB">
        <w:trPr>
          <w:trHeight w:val="144"/>
          <w:jc w:val="center"/>
        </w:trPr>
        <w:tc>
          <w:tcPr>
            <w:tcW w:w="2214" w:type="dxa"/>
            <w:vAlign w:val="center"/>
          </w:tcPr>
          <w:p w:rsidR="00877535" w:rsidRDefault="008E39BB" w:rsidP="00DE2A70">
            <w:pPr>
              <w:jc w:val="left"/>
              <w:rPr>
                <w:rFonts w:cs="Times New Roman"/>
                <w:sz w:val="20"/>
                <w:szCs w:val="20"/>
              </w:rPr>
            </w:pPr>
            <w:r w:rsidRPr="00051401">
              <w:rPr>
                <w:rFonts w:cs="Times New Roman"/>
                <w:sz w:val="20"/>
                <w:szCs w:val="20"/>
              </w:rPr>
              <w:t>10 to 14</w:t>
            </w:r>
          </w:p>
        </w:tc>
        <w:tc>
          <w:tcPr>
            <w:tcW w:w="1180"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0.127</w:t>
            </w:r>
          </w:p>
        </w:tc>
        <w:tc>
          <w:tcPr>
            <w:tcW w:w="1180"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0.124</w:t>
            </w:r>
          </w:p>
        </w:tc>
        <w:tc>
          <w:tcPr>
            <w:tcW w:w="1477"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0.081</w:t>
            </w:r>
          </w:p>
        </w:tc>
        <w:tc>
          <w:tcPr>
            <w:tcW w:w="1329"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0.973</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20.6%</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19.7%</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21.7%</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18.1%</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12.3%</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7.6%</w:t>
            </w:r>
          </w:p>
        </w:tc>
      </w:tr>
      <w:tr w:rsidR="008E39BB" w:rsidRPr="00051401" w:rsidTr="008E39BB">
        <w:trPr>
          <w:trHeight w:val="144"/>
          <w:jc w:val="center"/>
        </w:trPr>
        <w:tc>
          <w:tcPr>
            <w:tcW w:w="2214" w:type="dxa"/>
            <w:vAlign w:val="center"/>
          </w:tcPr>
          <w:p w:rsidR="00877535" w:rsidRDefault="008E39BB" w:rsidP="00DE2A70">
            <w:pPr>
              <w:jc w:val="left"/>
              <w:rPr>
                <w:rFonts w:cs="Times New Roman"/>
                <w:sz w:val="20"/>
                <w:szCs w:val="20"/>
              </w:rPr>
            </w:pPr>
            <w:r w:rsidRPr="00051401">
              <w:rPr>
                <w:rFonts w:cs="Times New Roman"/>
                <w:sz w:val="20"/>
                <w:szCs w:val="20"/>
              </w:rPr>
              <w:t>5 to 9</w:t>
            </w:r>
          </w:p>
        </w:tc>
        <w:tc>
          <w:tcPr>
            <w:tcW w:w="1180"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0.114</w:t>
            </w:r>
          </w:p>
        </w:tc>
        <w:tc>
          <w:tcPr>
            <w:tcW w:w="1180"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0.104</w:t>
            </w:r>
          </w:p>
        </w:tc>
        <w:tc>
          <w:tcPr>
            <w:tcW w:w="1477"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0.087</w:t>
            </w:r>
          </w:p>
        </w:tc>
        <w:tc>
          <w:tcPr>
            <w:tcW w:w="1329"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0.985</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29.3%</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19.1%</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19.3%</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14.5%</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9.1%</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8.7%</w:t>
            </w:r>
          </w:p>
        </w:tc>
      </w:tr>
      <w:tr w:rsidR="008E39BB" w:rsidRPr="00051401" w:rsidTr="008E39BB">
        <w:trPr>
          <w:trHeight w:val="144"/>
          <w:jc w:val="center"/>
        </w:trPr>
        <w:tc>
          <w:tcPr>
            <w:tcW w:w="2214" w:type="dxa"/>
            <w:vAlign w:val="center"/>
          </w:tcPr>
          <w:p w:rsidR="00877535" w:rsidRDefault="008E39BB" w:rsidP="00DE2A70">
            <w:pPr>
              <w:jc w:val="left"/>
              <w:rPr>
                <w:rFonts w:cs="Times New Roman"/>
                <w:sz w:val="20"/>
                <w:szCs w:val="20"/>
              </w:rPr>
            </w:pPr>
            <w:r w:rsidRPr="00051401">
              <w:rPr>
                <w:rFonts w:cs="Times New Roman"/>
                <w:sz w:val="20"/>
                <w:szCs w:val="20"/>
              </w:rPr>
              <w:t>2 to 4</w:t>
            </w:r>
          </w:p>
        </w:tc>
        <w:tc>
          <w:tcPr>
            <w:tcW w:w="1180"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0.081</w:t>
            </w:r>
          </w:p>
        </w:tc>
        <w:tc>
          <w:tcPr>
            <w:tcW w:w="1180"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0.053</w:t>
            </w:r>
          </w:p>
        </w:tc>
        <w:tc>
          <w:tcPr>
            <w:tcW w:w="1477"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0.086</w:t>
            </w:r>
          </w:p>
        </w:tc>
        <w:tc>
          <w:tcPr>
            <w:tcW w:w="1329"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0.991</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49.0%</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18.6%</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13.2%</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7.6%</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5.9%</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5.8%</w:t>
            </w:r>
          </w:p>
        </w:tc>
      </w:tr>
      <w:tr w:rsidR="008E39BB" w:rsidRPr="00051401" w:rsidTr="008E39BB">
        <w:trPr>
          <w:trHeight w:val="144"/>
          <w:jc w:val="center"/>
        </w:trPr>
        <w:tc>
          <w:tcPr>
            <w:tcW w:w="2214" w:type="dxa"/>
            <w:vAlign w:val="center"/>
          </w:tcPr>
          <w:p w:rsidR="00877535" w:rsidRDefault="008E39BB" w:rsidP="00DE2A70">
            <w:pPr>
              <w:jc w:val="left"/>
              <w:rPr>
                <w:rFonts w:cs="Times New Roman"/>
                <w:sz w:val="20"/>
                <w:szCs w:val="20"/>
              </w:rPr>
            </w:pPr>
            <w:r w:rsidRPr="00051401">
              <w:rPr>
                <w:rFonts w:cs="Times New Roman"/>
                <w:sz w:val="20"/>
                <w:szCs w:val="20"/>
              </w:rPr>
              <w:t>Full sample</w:t>
            </w:r>
          </w:p>
        </w:tc>
        <w:tc>
          <w:tcPr>
            <w:tcW w:w="1180"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0.117</w:t>
            </w:r>
          </w:p>
        </w:tc>
        <w:tc>
          <w:tcPr>
            <w:tcW w:w="1180"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0.110</w:t>
            </w:r>
          </w:p>
        </w:tc>
        <w:tc>
          <w:tcPr>
            <w:tcW w:w="1477"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0.085</w:t>
            </w:r>
          </w:p>
        </w:tc>
        <w:tc>
          <w:tcPr>
            <w:tcW w:w="1329" w:type="dxa"/>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0.952</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27.0%</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18.9%</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20.4%</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16.0%</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10.4%</w:t>
            </w:r>
          </w:p>
        </w:tc>
        <w:tc>
          <w:tcPr>
            <w:tcW w:w="1074" w:type="dxa"/>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7.4%</w:t>
            </w:r>
          </w:p>
        </w:tc>
      </w:tr>
      <w:tr w:rsidR="008E39BB" w:rsidRPr="00051401" w:rsidTr="008E39BB">
        <w:trPr>
          <w:trHeight w:val="144"/>
          <w:jc w:val="center"/>
        </w:trPr>
        <w:tc>
          <w:tcPr>
            <w:tcW w:w="2214" w:type="dxa"/>
            <w:tcBorders>
              <w:bottom w:val="nil"/>
            </w:tcBorders>
            <w:vAlign w:val="center"/>
          </w:tcPr>
          <w:p w:rsidR="00877535" w:rsidRDefault="009D2579" w:rsidP="00DE2A70">
            <w:pPr>
              <w:jc w:val="left"/>
              <w:rPr>
                <w:rFonts w:cs="Times New Roman"/>
                <w:sz w:val="20"/>
                <w:szCs w:val="20"/>
              </w:rPr>
            </w:pPr>
            <w:r>
              <w:rPr>
                <w:rFonts w:cs="Times New Roman"/>
                <w:sz w:val="20"/>
                <w:szCs w:val="20"/>
              </w:rPr>
              <w:t>Constant-comp</w:t>
            </w:r>
            <w:r w:rsidR="008E39BB" w:rsidRPr="00051401">
              <w:rPr>
                <w:rFonts w:cs="Times New Roman"/>
                <w:sz w:val="20"/>
                <w:szCs w:val="20"/>
              </w:rPr>
              <w:t xml:space="preserve"> sample</w:t>
            </w:r>
          </w:p>
        </w:tc>
        <w:tc>
          <w:tcPr>
            <w:tcW w:w="1180" w:type="dxa"/>
            <w:tcBorders>
              <w:bottom w:val="nil"/>
            </w:tcBorders>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0.135</w:t>
            </w:r>
          </w:p>
        </w:tc>
        <w:tc>
          <w:tcPr>
            <w:tcW w:w="1180" w:type="dxa"/>
            <w:tcBorders>
              <w:bottom w:val="nil"/>
            </w:tcBorders>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0.128</w:t>
            </w:r>
          </w:p>
        </w:tc>
        <w:tc>
          <w:tcPr>
            <w:tcW w:w="1477" w:type="dxa"/>
            <w:tcBorders>
              <w:bottom w:val="nil"/>
            </w:tcBorders>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0.061</w:t>
            </w:r>
          </w:p>
        </w:tc>
        <w:tc>
          <w:tcPr>
            <w:tcW w:w="1329" w:type="dxa"/>
            <w:tcBorders>
              <w:bottom w:val="nil"/>
            </w:tcBorders>
            <w:vAlign w:val="center"/>
          </w:tcPr>
          <w:p w:rsidR="008E39BB" w:rsidRPr="00344502" w:rsidRDefault="008E39BB" w:rsidP="008E39BB">
            <w:pPr>
              <w:jc w:val="center"/>
              <w:rPr>
                <w:rFonts w:cs="Times New Roman"/>
                <w:color w:val="000000"/>
                <w:sz w:val="20"/>
                <w:szCs w:val="20"/>
              </w:rPr>
            </w:pPr>
            <w:r w:rsidRPr="00344502">
              <w:rPr>
                <w:rFonts w:eastAsia="Times New Roman" w:cs="Times New Roman"/>
                <w:color w:val="000000"/>
                <w:sz w:val="20"/>
                <w:szCs w:val="20"/>
              </w:rPr>
              <w:t>0.943</w:t>
            </w:r>
          </w:p>
        </w:tc>
        <w:tc>
          <w:tcPr>
            <w:tcW w:w="1074" w:type="dxa"/>
            <w:tcBorders>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6.4%</w:t>
            </w:r>
          </w:p>
        </w:tc>
        <w:tc>
          <w:tcPr>
            <w:tcW w:w="1074" w:type="dxa"/>
            <w:tcBorders>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26.1%</w:t>
            </w:r>
          </w:p>
        </w:tc>
        <w:tc>
          <w:tcPr>
            <w:tcW w:w="1074" w:type="dxa"/>
            <w:tcBorders>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33.1%</w:t>
            </w:r>
          </w:p>
        </w:tc>
        <w:tc>
          <w:tcPr>
            <w:tcW w:w="1074" w:type="dxa"/>
            <w:tcBorders>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21.0%</w:t>
            </w:r>
          </w:p>
        </w:tc>
        <w:tc>
          <w:tcPr>
            <w:tcW w:w="1074" w:type="dxa"/>
            <w:tcBorders>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8.9%</w:t>
            </w:r>
          </w:p>
        </w:tc>
        <w:tc>
          <w:tcPr>
            <w:tcW w:w="1074" w:type="dxa"/>
            <w:tcBorders>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4.5%</w:t>
            </w:r>
          </w:p>
        </w:tc>
      </w:tr>
      <w:tr w:rsidR="008E39BB" w:rsidRPr="00051401" w:rsidTr="00DE2A70">
        <w:trPr>
          <w:trHeight w:val="144"/>
          <w:jc w:val="center"/>
        </w:trPr>
        <w:tc>
          <w:tcPr>
            <w:tcW w:w="2214" w:type="dxa"/>
            <w:tcBorders>
              <w:bottom w:val="single" w:sz="4" w:space="0" w:color="auto"/>
            </w:tcBorders>
            <w:vAlign w:val="center"/>
          </w:tcPr>
          <w:p w:rsidR="00877535" w:rsidRDefault="00877535" w:rsidP="00DE2A70">
            <w:pPr>
              <w:jc w:val="left"/>
              <w:rPr>
                <w:rFonts w:ascii="Tahoma" w:hAnsi="Tahoma" w:cs="Times New Roman"/>
                <w:sz w:val="20"/>
                <w:szCs w:val="20"/>
              </w:rPr>
            </w:pPr>
          </w:p>
        </w:tc>
        <w:tc>
          <w:tcPr>
            <w:tcW w:w="1180" w:type="dxa"/>
            <w:tcBorders>
              <w:bottom w:val="single" w:sz="4" w:space="0" w:color="auto"/>
            </w:tcBorders>
            <w:vAlign w:val="center"/>
          </w:tcPr>
          <w:p w:rsidR="008E39BB" w:rsidRPr="00051401" w:rsidRDefault="008E39BB" w:rsidP="008E39BB">
            <w:pPr>
              <w:jc w:val="center"/>
              <w:rPr>
                <w:rFonts w:cs="Times New Roman"/>
                <w:color w:val="000000"/>
                <w:sz w:val="20"/>
                <w:szCs w:val="20"/>
              </w:rPr>
            </w:pPr>
          </w:p>
        </w:tc>
        <w:tc>
          <w:tcPr>
            <w:tcW w:w="1180" w:type="dxa"/>
            <w:tcBorders>
              <w:bottom w:val="single" w:sz="4" w:space="0" w:color="auto"/>
            </w:tcBorders>
            <w:vAlign w:val="center"/>
          </w:tcPr>
          <w:p w:rsidR="008E39BB" w:rsidRPr="00051401" w:rsidRDefault="008E39BB" w:rsidP="008E39BB">
            <w:pPr>
              <w:jc w:val="center"/>
              <w:rPr>
                <w:rFonts w:cs="Times New Roman"/>
                <w:color w:val="000000"/>
                <w:sz w:val="20"/>
                <w:szCs w:val="20"/>
              </w:rPr>
            </w:pPr>
          </w:p>
        </w:tc>
        <w:tc>
          <w:tcPr>
            <w:tcW w:w="1477" w:type="dxa"/>
            <w:tcBorders>
              <w:bottom w:val="single" w:sz="4" w:space="0" w:color="auto"/>
            </w:tcBorders>
            <w:vAlign w:val="center"/>
          </w:tcPr>
          <w:p w:rsidR="008E39BB" w:rsidRPr="00051401" w:rsidRDefault="008E39BB" w:rsidP="008E39BB">
            <w:pPr>
              <w:jc w:val="center"/>
              <w:rPr>
                <w:rFonts w:cs="Times New Roman"/>
                <w:color w:val="000000"/>
                <w:sz w:val="20"/>
                <w:szCs w:val="20"/>
              </w:rPr>
            </w:pPr>
          </w:p>
        </w:tc>
        <w:tc>
          <w:tcPr>
            <w:tcW w:w="1329" w:type="dxa"/>
            <w:tcBorders>
              <w:bottom w:val="single" w:sz="4" w:space="0" w:color="auto"/>
            </w:tcBorders>
            <w:vAlign w:val="center"/>
          </w:tcPr>
          <w:p w:rsidR="008E39BB" w:rsidRPr="00051401" w:rsidRDefault="008E39BB" w:rsidP="008E39BB">
            <w:pPr>
              <w:jc w:val="center"/>
              <w:rPr>
                <w:rFonts w:cs="Times New Roman"/>
                <w:color w:val="000000"/>
                <w:sz w:val="20"/>
                <w:szCs w:val="20"/>
              </w:rPr>
            </w:pPr>
          </w:p>
        </w:tc>
        <w:tc>
          <w:tcPr>
            <w:tcW w:w="1074" w:type="dxa"/>
            <w:tcBorders>
              <w:bottom w:val="single" w:sz="4" w:space="0" w:color="auto"/>
            </w:tcBorders>
            <w:vAlign w:val="center"/>
          </w:tcPr>
          <w:p w:rsidR="008E39BB" w:rsidRPr="00051401" w:rsidRDefault="008E39BB" w:rsidP="008E39BB">
            <w:pPr>
              <w:jc w:val="center"/>
              <w:rPr>
                <w:rFonts w:cs="Times New Roman"/>
                <w:color w:val="000000"/>
                <w:sz w:val="20"/>
                <w:szCs w:val="20"/>
              </w:rPr>
            </w:pPr>
          </w:p>
        </w:tc>
        <w:tc>
          <w:tcPr>
            <w:tcW w:w="1074" w:type="dxa"/>
            <w:tcBorders>
              <w:bottom w:val="single" w:sz="4" w:space="0" w:color="auto"/>
            </w:tcBorders>
            <w:vAlign w:val="center"/>
          </w:tcPr>
          <w:p w:rsidR="008E39BB" w:rsidRPr="00051401" w:rsidRDefault="008E39BB" w:rsidP="008E39BB">
            <w:pPr>
              <w:jc w:val="center"/>
              <w:rPr>
                <w:rFonts w:cs="Times New Roman"/>
                <w:color w:val="000000"/>
                <w:sz w:val="20"/>
                <w:szCs w:val="20"/>
              </w:rPr>
            </w:pPr>
          </w:p>
        </w:tc>
        <w:tc>
          <w:tcPr>
            <w:tcW w:w="1074" w:type="dxa"/>
            <w:tcBorders>
              <w:bottom w:val="single" w:sz="4" w:space="0" w:color="auto"/>
            </w:tcBorders>
            <w:vAlign w:val="center"/>
          </w:tcPr>
          <w:p w:rsidR="008E39BB" w:rsidRPr="00051401" w:rsidRDefault="008E39BB" w:rsidP="008E39BB">
            <w:pPr>
              <w:jc w:val="center"/>
              <w:rPr>
                <w:rFonts w:cs="Times New Roman"/>
                <w:color w:val="000000"/>
                <w:sz w:val="20"/>
                <w:szCs w:val="20"/>
              </w:rPr>
            </w:pPr>
          </w:p>
        </w:tc>
        <w:tc>
          <w:tcPr>
            <w:tcW w:w="1074" w:type="dxa"/>
            <w:tcBorders>
              <w:bottom w:val="single" w:sz="4" w:space="0" w:color="auto"/>
            </w:tcBorders>
            <w:vAlign w:val="center"/>
          </w:tcPr>
          <w:p w:rsidR="008E39BB" w:rsidRPr="00051401" w:rsidRDefault="008E39BB" w:rsidP="008E39BB">
            <w:pPr>
              <w:jc w:val="center"/>
              <w:rPr>
                <w:rFonts w:cs="Times New Roman"/>
                <w:color w:val="000000"/>
                <w:sz w:val="20"/>
                <w:szCs w:val="20"/>
              </w:rPr>
            </w:pPr>
          </w:p>
        </w:tc>
        <w:tc>
          <w:tcPr>
            <w:tcW w:w="1074" w:type="dxa"/>
            <w:tcBorders>
              <w:bottom w:val="single" w:sz="4" w:space="0" w:color="auto"/>
            </w:tcBorders>
            <w:vAlign w:val="center"/>
          </w:tcPr>
          <w:p w:rsidR="008E39BB" w:rsidRPr="00051401" w:rsidRDefault="008E39BB" w:rsidP="008E39BB">
            <w:pPr>
              <w:jc w:val="center"/>
              <w:rPr>
                <w:rFonts w:cs="Times New Roman"/>
                <w:color w:val="000000"/>
                <w:sz w:val="20"/>
                <w:szCs w:val="20"/>
              </w:rPr>
            </w:pPr>
          </w:p>
        </w:tc>
        <w:tc>
          <w:tcPr>
            <w:tcW w:w="1074" w:type="dxa"/>
            <w:tcBorders>
              <w:bottom w:val="single" w:sz="4" w:space="0" w:color="auto"/>
            </w:tcBorders>
            <w:vAlign w:val="center"/>
          </w:tcPr>
          <w:p w:rsidR="008E39BB" w:rsidRPr="00051401" w:rsidRDefault="008E39BB" w:rsidP="008E39BB">
            <w:pPr>
              <w:jc w:val="center"/>
              <w:rPr>
                <w:rFonts w:cs="Times New Roman"/>
                <w:color w:val="000000"/>
                <w:sz w:val="20"/>
                <w:szCs w:val="20"/>
              </w:rPr>
            </w:pPr>
          </w:p>
        </w:tc>
      </w:tr>
      <w:tr w:rsidR="008E39BB" w:rsidRPr="00051401" w:rsidTr="00DE2A70">
        <w:trPr>
          <w:trHeight w:val="144"/>
          <w:jc w:val="center"/>
        </w:trPr>
        <w:tc>
          <w:tcPr>
            <w:tcW w:w="13824" w:type="dxa"/>
            <w:gridSpan w:val="11"/>
            <w:tcBorders>
              <w:top w:val="single" w:sz="4" w:space="0" w:color="auto"/>
              <w:bottom w:val="single" w:sz="4" w:space="0" w:color="auto"/>
            </w:tcBorders>
            <w:vAlign w:val="center"/>
          </w:tcPr>
          <w:p w:rsidR="008E39BB" w:rsidRPr="00051401" w:rsidRDefault="008E39BB" w:rsidP="007A457D">
            <w:pPr>
              <w:jc w:val="center"/>
              <w:rPr>
                <w:rFonts w:cs="Times New Roman"/>
                <w:color w:val="000000"/>
                <w:sz w:val="20"/>
                <w:szCs w:val="20"/>
              </w:rPr>
            </w:pPr>
            <w:r w:rsidRPr="00051401">
              <w:rPr>
                <w:rFonts w:cs="Times New Roman"/>
                <w:color w:val="000000"/>
                <w:sz w:val="20"/>
                <w:szCs w:val="20"/>
              </w:rPr>
              <w:t>C. NetDebt Ratio</w:t>
            </w:r>
          </w:p>
        </w:tc>
      </w:tr>
      <w:tr w:rsidR="008E39BB" w:rsidRPr="00051401" w:rsidTr="00DE2A70">
        <w:trPr>
          <w:trHeight w:val="144"/>
          <w:jc w:val="center"/>
        </w:trPr>
        <w:tc>
          <w:tcPr>
            <w:tcW w:w="2214" w:type="dxa"/>
            <w:tcBorders>
              <w:top w:val="single" w:sz="4" w:space="0" w:color="auto"/>
              <w:bottom w:val="nil"/>
            </w:tcBorders>
            <w:vAlign w:val="center"/>
          </w:tcPr>
          <w:p w:rsidR="00877535" w:rsidRDefault="008E39BB" w:rsidP="00DE2A70">
            <w:pPr>
              <w:jc w:val="left"/>
              <w:rPr>
                <w:rFonts w:cs="Times New Roman"/>
                <w:sz w:val="20"/>
                <w:szCs w:val="20"/>
              </w:rPr>
            </w:pPr>
            <w:r w:rsidRPr="00051401">
              <w:rPr>
                <w:rFonts w:cs="Times New Roman"/>
                <w:sz w:val="20"/>
                <w:szCs w:val="20"/>
              </w:rPr>
              <w:t>20-plus</w:t>
            </w:r>
          </w:p>
        </w:tc>
        <w:tc>
          <w:tcPr>
            <w:tcW w:w="1180" w:type="dxa"/>
            <w:tcBorders>
              <w:top w:val="single" w:sz="4" w:space="0" w:color="auto"/>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0.167</w:t>
            </w:r>
          </w:p>
        </w:tc>
        <w:tc>
          <w:tcPr>
            <w:tcW w:w="1180" w:type="dxa"/>
            <w:tcBorders>
              <w:top w:val="single" w:sz="4" w:space="0" w:color="auto"/>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0.153</w:t>
            </w:r>
          </w:p>
        </w:tc>
        <w:tc>
          <w:tcPr>
            <w:tcW w:w="1477" w:type="dxa"/>
            <w:tcBorders>
              <w:top w:val="single" w:sz="4" w:space="0" w:color="auto"/>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0.076</w:t>
            </w:r>
          </w:p>
        </w:tc>
        <w:tc>
          <w:tcPr>
            <w:tcW w:w="1329" w:type="dxa"/>
            <w:tcBorders>
              <w:top w:val="single" w:sz="4" w:space="0" w:color="auto"/>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0.925</w:t>
            </w:r>
          </w:p>
        </w:tc>
        <w:tc>
          <w:tcPr>
            <w:tcW w:w="1074" w:type="dxa"/>
            <w:tcBorders>
              <w:top w:val="single" w:sz="4" w:space="0" w:color="auto"/>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1.0%</w:t>
            </w:r>
          </w:p>
        </w:tc>
        <w:tc>
          <w:tcPr>
            <w:tcW w:w="1074" w:type="dxa"/>
            <w:tcBorders>
              <w:top w:val="single" w:sz="4" w:space="0" w:color="auto"/>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17.3%</w:t>
            </w:r>
          </w:p>
        </w:tc>
        <w:tc>
          <w:tcPr>
            <w:tcW w:w="1074" w:type="dxa"/>
            <w:tcBorders>
              <w:top w:val="single" w:sz="4" w:space="0" w:color="auto"/>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30.1%</w:t>
            </w:r>
          </w:p>
        </w:tc>
        <w:tc>
          <w:tcPr>
            <w:tcW w:w="1074" w:type="dxa"/>
            <w:tcBorders>
              <w:top w:val="single" w:sz="4" w:space="0" w:color="auto"/>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23.9%</w:t>
            </w:r>
          </w:p>
        </w:tc>
        <w:tc>
          <w:tcPr>
            <w:tcW w:w="1074" w:type="dxa"/>
            <w:tcBorders>
              <w:top w:val="single" w:sz="4" w:space="0" w:color="auto"/>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13.8%</w:t>
            </w:r>
          </w:p>
        </w:tc>
        <w:tc>
          <w:tcPr>
            <w:tcW w:w="1074" w:type="dxa"/>
            <w:tcBorders>
              <w:top w:val="single" w:sz="4" w:space="0" w:color="auto"/>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14.0%</w:t>
            </w:r>
          </w:p>
        </w:tc>
      </w:tr>
      <w:tr w:rsidR="008E39BB" w:rsidRPr="00051401" w:rsidTr="008E39BB">
        <w:trPr>
          <w:trHeight w:val="144"/>
          <w:jc w:val="center"/>
        </w:trPr>
        <w:tc>
          <w:tcPr>
            <w:tcW w:w="2214" w:type="dxa"/>
            <w:tcBorders>
              <w:top w:val="nil"/>
              <w:bottom w:val="nil"/>
            </w:tcBorders>
            <w:vAlign w:val="center"/>
          </w:tcPr>
          <w:p w:rsidR="00877535" w:rsidRDefault="008E39BB" w:rsidP="00DE2A70">
            <w:pPr>
              <w:jc w:val="left"/>
              <w:rPr>
                <w:rFonts w:cs="Times New Roman"/>
                <w:sz w:val="20"/>
                <w:szCs w:val="20"/>
              </w:rPr>
            </w:pPr>
            <w:r w:rsidRPr="00051401">
              <w:rPr>
                <w:rFonts w:cs="Times New Roman"/>
                <w:sz w:val="20"/>
                <w:szCs w:val="20"/>
              </w:rPr>
              <w:t>15 to 19</w:t>
            </w:r>
          </w:p>
        </w:tc>
        <w:tc>
          <w:tcPr>
            <w:tcW w:w="1180"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0.180</w:t>
            </w:r>
          </w:p>
        </w:tc>
        <w:tc>
          <w:tcPr>
            <w:tcW w:w="1180"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0.161</w:t>
            </w:r>
          </w:p>
        </w:tc>
        <w:tc>
          <w:tcPr>
            <w:tcW w:w="1477"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0.093</w:t>
            </w:r>
          </w:p>
        </w:tc>
        <w:tc>
          <w:tcPr>
            <w:tcW w:w="1329"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0.957</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2.1%</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16.1%</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26.4%</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21.4%</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14.5%</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19.6%</w:t>
            </w:r>
          </w:p>
        </w:tc>
      </w:tr>
      <w:tr w:rsidR="008E39BB" w:rsidRPr="00051401" w:rsidTr="008E39BB">
        <w:trPr>
          <w:trHeight w:val="144"/>
          <w:jc w:val="center"/>
        </w:trPr>
        <w:tc>
          <w:tcPr>
            <w:tcW w:w="2214" w:type="dxa"/>
            <w:tcBorders>
              <w:top w:val="nil"/>
              <w:bottom w:val="nil"/>
            </w:tcBorders>
            <w:vAlign w:val="center"/>
          </w:tcPr>
          <w:p w:rsidR="00877535" w:rsidRDefault="008E39BB" w:rsidP="00DE2A70">
            <w:pPr>
              <w:jc w:val="left"/>
              <w:rPr>
                <w:rFonts w:cs="Times New Roman"/>
                <w:sz w:val="20"/>
                <w:szCs w:val="20"/>
              </w:rPr>
            </w:pPr>
            <w:r w:rsidRPr="00051401">
              <w:rPr>
                <w:rFonts w:cs="Times New Roman"/>
                <w:sz w:val="20"/>
                <w:szCs w:val="20"/>
              </w:rPr>
              <w:t>10 to 14</w:t>
            </w:r>
          </w:p>
        </w:tc>
        <w:tc>
          <w:tcPr>
            <w:tcW w:w="1180"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0.175</w:t>
            </w:r>
          </w:p>
        </w:tc>
        <w:tc>
          <w:tcPr>
            <w:tcW w:w="1180"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0.156</w:t>
            </w:r>
          </w:p>
        </w:tc>
        <w:tc>
          <w:tcPr>
            <w:tcW w:w="1477"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0.095</w:t>
            </w:r>
          </w:p>
        </w:tc>
        <w:tc>
          <w:tcPr>
            <w:tcW w:w="1329"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0.967</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3.1%</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19.3%</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25.1%</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19.8%</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13.7%</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19.1%</w:t>
            </w:r>
          </w:p>
        </w:tc>
      </w:tr>
      <w:tr w:rsidR="008E39BB" w:rsidRPr="00051401" w:rsidTr="008E39BB">
        <w:trPr>
          <w:trHeight w:val="144"/>
          <w:jc w:val="center"/>
        </w:trPr>
        <w:tc>
          <w:tcPr>
            <w:tcW w:w="2214" w:type="dxa"/>
            <w:tcBorders>
              <w:top w:val="nil"/>
              <w:bottom w:val="nil"/>
            </w:tcBorders>
            <w:vAlign w:val="center"/>
          </w:tcPr>
          <w:p w:rsidR="00877535" w:rsidRDefault="008E39BB" w:rsidP="00DE2A70">
            <w:pPr>
              <w:jc w:val="left"/>
              <w:rPr>
                <w:rFonts w:cs="Times New Roman"/>
                <w:sz w:val="20"/>
                <w:szCs w:val="20"/>
              </w:rPr>
            </w:pPr>
            <w:r w:rsidRPr="00051401">
              <w:rPr>
                <w:rFonts w:cs="Times New Roman"/>
                <w:sz w:val="20"/>
                <w:szCs w:val="20"/>
              </w:rPr>
              <w:t>5 to 9</w:t>
            </w:r>
          </w:p>
        </w:tc>
        <w:tc>
          <w:tcPr>
            <w:tcW w:w="1180"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0.170</w:t>
            </w:r>
          </w:p>
        </w:tc>
        <w:tc>
          <w:tcPr>
            <w:tcW w:w="1180"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0.145</w:t>
            </w:r>
          </w:p>
        </w:tc>
        <w:tc>
          <w:tcPr>
            <w:tcW w:w="1477"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0.107</w:t>
            </w:r>
          </w:p>
        </w:tc>
        <w:tc>
          <w:tcPr>
            <w:tcW w:w="1329"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0.978</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7.3%</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22.2%</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22.6%</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17.0%</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11.4%</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19.5%</w:t>
            </w:r>
          </w:p>
        </w:tc>
      </w:tr>
      <w:tr w:rsidR="008E39BB" w:rsidRPr="00051401" w:rsidTr="008E39BB">
        <w:trPr>
          <w:trHeight w:val="144"/>
          <w:jc w:val="center"/>
        </w:trPr>
        <w:tc>
          <w:tcPr>
            <w:tcW w:w="2214" w:type="dxa"/>
            <w:tcBorders>
              <w:top w:val="nil"/>
              <w:bottom w:val="nil"/>
            </w:tcBorders>
            <w:vAlign w:val="center"/>
          </w:tcPr>
          <w:p w:rsidR="00877535" w:rsidRDefault="008E39BB" w:rsidP="00DE2A70">
            <w:pPr>
              <w:jc w:val="left"/>
              <w:rPr>
                <w:rFonts w:cs="Times New Roman"/>
                <w:sz w:val="20"/>
                <w:szCs w:val="20"/>
              </w:rPr>
            </w:pPr>
            <w:r w:rsidRPr="00051401">
              <w:rPr>
                <w:rFonts w:cs="Times New Roman"/>
                <w:sz w:val="20"/>
                <w:szCs w:val="20"/>
              </w:rPr>
              <w:t>2 to 4</w:t>
            </w:r>
          </w:p>
        </w:tc>
        <w:tc>
          <w:tcPr>
            <w:tcW w:w="1180"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0.144</w:t>
            </w:r>
          </w:p>
        </w:tc>
        <w:tc>
          <w:tcPr>
            <w:tcW w:w="1180"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0.109</w:t>
            </w:r>
          </w:p>
        </w:tc>
        <w:tc>
          <w:tcPr>
            <w:tcW w:w="1477"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0.125</w:t>
            </w:r>
          </w:p>
        </w:tc>
        <w:tc>
          <w:tcPr>
            <w:tcW w:w="1329"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0.987</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24.5%</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22.6%</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15.9%</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12.0%</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7.5%</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17.5%</w:t>
            </w:r>
          </w:p>
        </w:tc>
      </w:tr>
      <w:tr w:rsidR="008E39BB" w:rsidRPr="00051401" w:rsidTr="008E39BB">
        <w:trPr>
          <w:trHeight w:val="144"/>
          <w:jc w:val="center"/>
        </w:trPr>
        <w:tc>
          <w:tcPr>
            <w:tcW w:w="2214" w:type="dxa"/>
            <w:tcBorders>
              <w:top w:val="nil"/>
              <w:bottom w:val="nil"/>
            </w:tcBorders>
            <w:vAlign w:val="center"/>
          </w:tcPr>
          <w:p w:rsidR="00877535" w:rsidRDefault="008E39BB" w:rsidP="00DE2A70">
            <w:pPr>
              <w:jc w:val="left"/>
              <w:rPr>
                <w:rFonts w:cs="Times New Roman"/>
                <w:sz w:val="20"/>
                <w:szCs w:val="20"/>
              </w:rPr>
            </w:pPr>
            <w:r w:rsidRPr="00051401">
              <w:rPr>
                <w:rFonts w:cs="Times New Roman"/>
                <w:sz w:val="20"/>
                <w:szCs w:val="20"/>
              </w:rPr>
              <w:t>Full sample</w:t>
            </w:r>
          </w:p>
        </w:tc>
        <w:tc>
          <w:tcPr>
            <w:tcW w:w="1180"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0.164</w:t>
            </w:r>
          </w:p>
        </w:tc>
        <w:tc>
          <w:tcPr>
            <w:tcW w:w="1180"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0.143</w:t>
            </w:r>
          </w:p>
        </w:tc>
        <w:tc>
          <w:tcPr>
            <w:tcW w:w="1477"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0.104</w:t>
            </w:r>
          </w:p>
        </w:tc>
        <w:tc>
          <w:tcPr>
            <w:tcW w:w="1329" w:type="dxa"/>
            <w:tcBorders>
              <w:top w:val="nil"/>
              <w:bottom w:val="nil"/>
            </w:tcBorders>
            <w:vAlign w:val="center"/>
          </w:tcPr>
          <w:p w:rsidR="008E39BB" w:rsidRPr="000E66DE" w:rsidRDefault="008E39BB" w:rsidP="008E39BB">
            <w:pPr>
              <w:jc w:val="center"/>
              <w:rPr>
                <w:rFonts w:cs="Times New Roman"/>
                <w:color w:val="000000"/>
                <w:sz w:val="20"/>
                <w:szCs w:val="20"/>
              </w:rPr>
            </w:pPr>
            <w:r w:rsidRPr="000E66DE">
              <w:rPr>
                <w:rFonts w:eastAsia="Times New Roman" w:cs="Times New Roman"/>
                <w:color w:val="000000"/>
                <w:sz w:val="20"/>
                <w:szCs w:val="20"/>
              </w:rPr>
              <w:t>0.919</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9.3%</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20.2%</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23.1%</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18.0%</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11.6%</w:t>
            </w:r>
          </w:p>
        </w:tc>
        <w:tc>
          <w:tcPr>
            <w:tcW w:w="1074" w:type="dxa"/>
            <w:tcBorders>
              <w:top w:val="nil"/>
              <w:bottom w:val="nil"/>
            </w:tcBorders>
            <w:vAlign w:val="center"/>
          </w:tcPr>
          <w:p w:rsidR="008E39BB" w:rsidRPr="005D7926" w:rsidRDefault="008E39BB" w:rsidP="008E39BB">
            <w:pPr>
              <w:jc w:val="center"/>
              <w:rPr>
                <w:rFonts w:cs="Times New Roman"/>
                <w:color w:val="000000"/>
                <w:sz w:val="20"/>
                <w:szCs w:val="20"/>
              </w:rPr>
            </w:pPr>
            <w:r w:rsidRPr="005D7926">
              <w:rPr>
                <w:rFonts w:eastAsia="Times New Roman" w:cs="Times New Roman"/>
                <w:color w:val="000000"/>
                <w:sz w:val="20"/>
                <w:szCs w:val="20"/>
              </w:rPr>
              <w:t>17.8%</w:t>
            </w:r>
          </w:p>
        </w:tc>
      </w:tr>
      <w:tr w:rsidR="008E39BB" w:rsidRPr="00051401" w:rsidTr="008E39BB">
        <w:trPr>
          <w:trHeight w:val="144"/>
          <w:jc w:val="center"/>
        </w:trPr>
        <w:tc>
          <w:tcPr>
            <w:tcW w:w="2214" w:type="dxa"/>
            <w:tcBorders>
              <w:top w:val="nil"/>
              <w:bottom w:val="single" w:sz="4" w:space="0" w:color="auto"/>
            </w:tcBorders>
            <w:vAlign w:val="center"/>
          </w:tcPr>
          <w:p w:rsidR="00877535" w:rsidRDefault="009D2579" w:rsidP="00DE2A70">
            <w:pPr>
              <w:jc w:val="left"/>
              <w:rPr>
                <w:rFonts w:cs="Times New Roman"/>
                <w:sz w:val="20"/>
                <w:szCs w:val="20"/>
              </w:rPr>
            </w:pPr>
            <w:r>
              <w:rPr>
                <w:rFonts w:cs="Times New Roman"/>
                <w:sz w:val="20"/>
                <w:szCs w:val="20"/>
              </w:rPr>
              <w:t>Constant-comp</w:t>
            </w:r>
            <w:r w:rsidR="008E39BB" w:rsidRPr="00051401">
              <w:rPr>
                <w:rFonts w:cs="Times New Roman"/>
                <w:sz w:val="20"/>
                <w:szCs w:val="20"/>
              </w:rPr>
              <w:t xml:space="preserve"> sample</w:t>
            </w:r>
          </w:p>
        </w:tc>
        <w:tc>
          <w:tcPr>
            <w:tcW w:w="1180" w:type="dxa"/>
            <w:tcBorders>
              <w:top w:val="nil"/>
              <w:bottom w:val="single" w:sz="4" w:space="0" w:color="auto"/>
            </w:tcBorders>
            <w:vAlign w:val="center"/>
          </w:tcPr>
          <w:p w:rsidR="008E39BB" w:rsidRPr="000E66DE" w:rsidRDefault="008E39BB" w:rsidP="008E39BB">
            <w:pPr>
              <w:jc w:val="center"/>
              <w:rPr>
                <w:rFonts w:cs="Times New Roman"/>
                <w:sz w:val="20"/>
                <w:szCs w:val="20"/>
              </w:rPr>
            </w:pPr>
            <w:r w:rsidRPr="000E66DE">
              <w:rPr>
                <w:rFonts w:eastAsia="Times New Roman" w:cs="Times New Roman"/>
                <w:color w:val="000000"/>
                <w:sz w:val="20"/>
                <w:szCs w:val="20"/>
              </w:rPr>
              <w:t>0.159</w:t>
            </w:r>
          </w:p>
        </w:tc>
        <w:tc>
          <w:tcPr>
            <w:tcW w:w="1180" w:type="dxa"/>
            <w:tcBorders>
              <w:top w:val="nil"/>
              <w:bottom w:val="single" w:sz="4" w:space="0" w:color="auto"/>
            </w:tcBorders>
            <w:vAlign w:val="center"/>
          </w:tcPr>
          <w:p w:rsidR="008E39BB" w:rsidRPr="000E66DE" w:rsidRDefault="008E39BB" w:rsidP="008E39BB">
            <w:pPr>
              <w:jc w:val="center"/>
              <w:rPr>
                <w:rFonts w:cs="Times New Roman"/>
                <w:sz w:val="20"/>
                <w:szCs w:val="20"/>
              </w:rPr>
            </w:pPr>
            <w:r w:rsidRPr="000E66DE">
              <w:rPr>
                <w:rFonts w:eastAsia="Times New Roman" w:cs="Times New Roman"/>
                <w:color w:val="000000"/>
                <w:sz w:val="20"/>
                <w:szCs w:val="20"/>
              </w:rPr>
              <w:t>0.153</w:t>
            </w:r>
          </w:p>
        </w:tc>
        <w:tc>
          <w:tcPr>
            <w:tcW w:w="1477" w:type="dxa"/>
            <w:tcBorders>
              <w:top w:val="nil"/>
              <w:bottom w:val="single" w:sz="4" w:space="0" w:color="auto"/>
            </w:tcBorders>
            <w:vAlign w:val="center"/>
          </w:tcPr>
          <w:p w:rsidR="008E39BB" w:rsidRPr="000E66DE" w:rsidRDefault="008E39BB" w:rsidP="008E39BB">
            <w:pPr>
              <w:jc w:val="center"/>
              <w:rPr>
                <w:rFonts w:cs="Times New Roman"/>
                <w:sz w:val="20"/>
                <w:szCs w:val="20"/>
              </w:rPr>
            </w:pPr>
            <w:r w:rsidRPr="000E66DE">
              <w:rPr>
                <w:rFonts w:eastAsia="Times New Roman" w:cs="Times New Roman"/>
                <w:color w:val="000000"/>
                <w:sz w:val="20"/>
                <w:szCs w:val="20"/>
              </w:rPr>
              <w:t>0.059</w:t>
            </w:r>
          </w:p>
        </w:tc>
        <w:tc>
          <w:tcPr>
            <w:tcW w:w="1329" w:type="dxa"/>
            <w:tcBorders>
              <w:top w:val="nil"/>
              <w:bottom w:val="single" w:sz="4" w:space="0" w:color="auto"/>
            </w:tcBorders>
            <w:vAlign w:val="center"/>
          </w:tcPr>
          <w:p w:rsidR="008E39BB" w:rsidRPr="000E66DE" w:rsidRDefault="008E39BB" w:rsidP="008E39BB">
            <w:pPr>
              <w:jc w:val="center"/>
              <w:rPr>
                <w:rFonts w:cs="Times New Roman"/>
                <w:sz w:val="20"/>
                <w:szCs w:val="20"/>
              </w:rPr>
            </w:pPr>
            <w:r w:rsidRPr="000E66DE">
              <w:rPr>
                <w:rFonts w:eastAsia="Times New Roman" w:cs="Times New Roman"/>
                <w:color w:val="000000"/>
                <w:sz w:val="20"/>
                <w:szCs w:val="20"/>
              </w:rPr>
              <w:t>0.882</w:t>
            </w:r>
          </w:p>
        </w:tc>
        <w:tc>
          <w:tcPr>
            <w:tcW w:w="1074" w:type="dxa"/>
            <w:tcBorders>
              <w:top w:val="nil"/>
              <w:bottom w:val="single" w:sz="4" w:space="0" w:color="auto"/>
            </w:tcBorders>
            <w:vAlign w:val="center"/>
          </w:tcPr>
          <w:p w:rsidR="008E39BB" w:rsidRPr="005D7926" w:rsidRDefault="008E39BB" w:rsidP="008E39BB">
            <w:pPr>
              <w:jc w:val="center"/>
              <w:rPr>
                <w:rFonts w:cs="Times New Roman"/>
                <w:sz w:val="20"/>
                <w:szCs w:val="20"/>
              </w:rPr>
            </w:pPr>
            <w:r w:rsidRPr="005D7926">
              <w:rPr>
                <w:rFonts w:eastAsia="Times New Roman" w:cs="Times New Roman"/>
                <w:color w:val="000000"/>
                <w:sz w:val="20"/>
                <w:szCs w:val="20"/>
              </w:rPr>
              <w:t>0.0%</w:t>
            </w:r>
          </w:p>
        </w:tc>
        <w:tc>
          <w:tcPr>
            <w:tcW w:w="1074" w:type="dxa"/>
            <w:tcBorders>
              <w:top w:val="nil"/>
              <w:bottom w:val="single" w:sz="4" w:space="0" w:color="auto"/>
            </w:tcBorders>
            <w:vAlign w:val="center"/>
          </w:tcPr>
          <w:p w:rsidR="008E39BB" w:rsidRPr="005D7926" w:rsidRDefault="008E39BB" w:rsidP="008E39BB">
            <w:pPr>
              <w:jc w:val="center"/>
              <w:rPr>
                <w:rFonts w:cs="Times New Roman"/>
                <w:sz w:val="20"/>
                <w:szCs w:val="20"/>
              </w:rPr>
            </w:pPr>
            <w:r w:rsidRPr="005D7926">
              <w:rPr>
                <w:rFonts w:eastAsia="Times New Roman" w:cs="Times New Roman"/>
                <w:color w:val="000000"/>
                <w:sz w:val="20"/>
                <w:szCs w:val="20"/>
              </w:rPr>
              <w:t>16.6%</w:t>
            </w:r>
          </w:p>
        </w:tc>
        <w:tc>
          <w:tcPr>
            <w:tcW w:w="1074" w:type="dxa"/>
            <w:tcBorders>
              <w:top w:val="nil"/>
              <w:bottom w:val="single" w:sz="4" w:space="0" w:color="auto"/>
            </w:tcBorders>
            <w:vAlign w:val="center"/>
          </w:tcPr>
          <w:p w:rsidR="008E39BB" w:rsidRPr="005D7926" w:rsidRDefault="008E39BB" w:rsidP="008E39BB">
            <w:pPr>
              <w:jc w:val="center"/>
              <w:rPr>
                <w:rFonts w:cs="Times New Roman"/>
                <w:sz w:val="20"/>
                <w:szCs w:val="20"/>
              </w:rPr>
            </w:pPr>
            <w:r w:rsidRPr="005D7926">
              <w:rPr>
                <w:rFonts w:eastAsia="Times New Roman" w:cs="Times New Roman"/>
                <w:color w:val="000000"/>
                <w:sz w:val="20"/>
                <w:szCs w:val="20"/>
              </w:rPr>
              <w:t>33.1%</w:t>
            </w:r>
          </w:p>
        </w:tc>
        <w:tc>
          <w:tcPr>
            <w:tcW w:w="1074" w:type="dxa"/>
            <w:tcBorders>
              <w:top w:val="nil"/>
              <w:bottom w:val="single" w:sz="4" w:space="0" w:color="auto"/>
            </w:tcBorders>
            <w:vAlign w:val="center"/>
          </w:tcPr>
          <w:p w:rsidR="008E39BB" w:rsidRPr="005D7926" w:rsidRDefault="008E39BB" w:rsidP="008E39BB">
            <w:pPr>
              <w:jc w:val="center"/>
              <w:rPr>
                <w:rFonts w:cs="Times New Roman"/>
                <w:sz w:val="20"/>
                <w:szCs w:val="20"/>
              </w:rPr>
            </w:pPr>
            <w:r w:rsidRPr="005D7926">
              <w:rPr>
                <w:rFonts w:eastAsia="Times New Roman" w:cs="Times New Roman"/>
                <w:color w:val="000000"/>
                <w:sz w:val="20"/>
                <w:szCs w:val="20"/>
              </w:rPr>
              <w:t>28.0%</w:t>
            </w:r>
          </w:p>
        </w:tc>
        <w:tc>
          <w:tcPr>
            <w:tcW w:w="1074" w:type="dxa"/>
            <w:tcBorders>
              <w:top w:val="nil"/>
              <w:bottom w:val="single" w:sz="4" w:space="0" w:color="auto"/>
            </w:tcBorders>
            <w:vAlign w:val="center"/>
          </w:tcPr>
          <w:p w:rsidR="008E39BB" w:rsidRPr="005D7926" w:rsidRDefault="008E39BB" w:rsidP="008E39BB">
            <w:pPr>
              <w:jc w:val="center"/>
              <w:rPr>
                <w:rFonts w:cs="Times New Roman"/>
                <w:sz w:val="20"/>
                <w:szCs w:val="20"/>
              </w:rPr>
            </w:pPr>
            <w:r w:rsidRPr="005D7926">
              <w:rPr>
                <w:rFonts w:eastAsia="Times New Roman" w:cs="Times New Roman"/>
                <w:color w:val="000000"/>
                <w:sz w:val="20"/>
                <w:szCs w:val="20"/>
              </w:rPr>
              <w:t>15.3%</w:t>
            </w:r>
          </w:p>
        </w:tc>
        <w:tc>
          <w:tcPr>
            <w:tcW w:w="1074" w:type="dxa"/>
            <w:tcBorders>
              <w:top w:val="nil"/>
              <w:bottom w:val="single" w:sz="4" w:space="0" w:color="auto"/>
            </w:tcBorders>
            <w:vAlign w:val="center"/>
          </w:tcPr>
          <w:p w:rsidR="008E39BB" w:rsidRPr="005D7926" w:rsidRDefault="008E39BB" w:rsidP="008E39BB">
            <w:pPr>
              <w:jc w:val="center"/>
              <w:rPr>
                <w:rFonts w:cs="Times New Roman"/>
                <w:sz w:val="20"/>
                <w:szCs w:val="20"/>
              </w:rPr>
            </w:pPr>
            <w:r w:rsidRPr="005D7926">
              <w:rPr>
                <w:rFonts w:eastAsia="Times New Roman" w:cs="Times New Roman"/>
                <w:color w:val="000000"/>
                <w:sz w:val="20"/>
                <w:szCs w:val="20"/>
              </w:rPr>
              <w:t>7.0%</w:t>
            </w:r>
          </w:p>
        </w:tc>
      </w:tr>
    </w:tbl>
    <w:p w:rsidR="008E39BB" w:rsidRDefault="008E39BB" w:rsidP="008E39BB">
      <w:pPr>
        <w:sectPr w:rsidR="008E39BB" w:rsidSect="008E39BB">
          <w:pgSz w:w="15840" w:h="12240" w:orient="landscape"/>
          <w:pgMar w:top="1296" w:right="1440" w:bottom="1296" w:left="1440" w:header="720" w:footer="720" w:gutter="0"/>
          <w:cols w:space="720"/>
          <w:docGrid w:linePitch="360"/>
        </w:sectPr>
      </w:pPr>
    </w:p>
    <w:p w:rsidR="008E39BB" w:rsidRDefault="008E39BB" w:rsidP="008E39BB">
      <w:pPr>
        <w:rPr>
          <w:sz w:val="20"/>
          <w:szCs w:val="20"/>
        </w:rPr>
      </w:pPr>
    </w:p>
    <w:p w:rsidR="008E39BB" w:rsidRDefault="008E39BB" w:rsidP="008E39BB">
      <w:pPr>
        <w:rPr>
          <w:sz w:val="20"/>
          <w:szCs w:val="20"/>
        </w:rPr>
      </w:pPr>
    </w:p>
    <w:p w:rsidR="008E39BB" w:rsidRDefault="008E39BB" w:rsidP="008E39BB">
      <w:pPr>
        <w:rPr>
          <w:sz w:val="20"/>
          <w:szCs w:val="20"/>
        </w:rPr>
      </w:pPr>
    </w:p>
    <w:p w:rsidR="008E39BB" w:rsidRDefault="008E39BB" w:rsidP="008E39BB">
      <w:pPr>
        <w:rPr>
          <w:sz w:val="20"/>
          <w:szCs w:val="20"/>
        </w:rPr>
      </w:pPr>
    </w:p>
    <w:p w:rsidR="008E39BB" w:rsidRDefault="008E39BB" w:rsidP="008E39BB">
      <w:pPr>
        <w:rPr>
          <w:sz w:val="20"/>
          <w:szCs w:val="20"/>
        </w:rPr>
      </w:pPr>
    </w:p>
    <w:p w:rsidR="008E39BB" w:rsidRDefault="008E39BB" w:rsidP="008E39BB">
      <w:pPr>
        <w:rPr>
          <w:sz w:val="20"/>
          <w:szCs w:val="20"/>
        </w:rPr>
      </w:pPr>
    </w:p>
    <w:p w:rsidR="008E39BB" w:rsidRDefault="0067344F" w:rsidP="008E39BB">
      <w:pPr>
        <w:jc w:val="center"/>
        <w:rPr>
          <w:b/>
          <w:sz w:val="20"/>
          <w:szCs w:val="20"/>
        </w:rPr>
      </w:pPr>
      <w:r>
        <w:rPr>
          <w:b/>
          <w:sz w:val="20"/>
          <w:szCs w:val="20"/>
        </w:rPr>
        <w:t xml:space="preserve">Table </w:t>
      </w:r>
      <w:r w:rsidR="00AA4744">
        <w:rPr>
          <w:b/>
          <w:sz w:val="20"/>
          <w:szCs w:val="20"/>
        </w:rPr>
        <w:t>IA.</w:t>
      </w:r>
      <w:r w:rsidR="00E84F3B">
        <w:rPr>
          <w:b/>
          <w:sz w:val="20"/>
          <w:szCs w:val="20"/>
        </w:rPr>
        <w:t>III</w:t>
      </w:r>
    </w:p>
    <w:p w:rsidR="008E39BB" w:rsidRDefault="008E39BB" w:rsidP="008E39BB">
      <w:pPr>
        <w:jc w:val="center"/>
        <w:rPr>
          <w:b/>
          <w:sz w:val="20"/>
          <w:szCs w:val="20"/>
        </w:rPr>
      </w:pPr>
    </w:p>
    <w:p w:rsidR="008E39BB" w:rsidRDefault="008E39BB" w:rsidP="008E39BB">
      <w:pPr>
        <w:jc w:val="center"/>
        <w:rPr>
          <w:b/>
          <w:sz w:val="20"/>
          <w:szCs w:val="20"/>
        </w:rPr>
      </w:pPr>
      <w:r>
        <w:rPr>
          <w:b/>
          <w:sz w:val="20"/>
          <w:szCs w:val="20"/>
        </w:rPr>
        <w:t xml:space="preserve">Median Time-Series Correlation Between Book Leverage and Market Leverage: </w:t>
      </w:r>
    </w:p>
    <w:p w:rsidR="008E39BB" w:rsidRPr="007C6637" w:rsidRDefault="008E39BB" w:rsidP="008E39BB">
      <w:pPr>
        <w:jc w:val="center"/>
        <w:rPr>
          <w:b/>
          <w:sz w:val="20"/>
          <w:szCs w:val="20"/>
        </w:rPr>
      </w:pPr>
      <w:r>
        <w:rPr>
          <w:b/>
          <w:sz w:val="20"/>
          <w:szCs w:val="20"/>
        </w:rPr>
        <w:t>Publicly Held Industrial Firms Partitioned by Range of Book Leverage</w:t>
      </w:r>
    </w:p>
    <w:p w:rsidR="008E39BB" w:rsidRDefault="008E39BB" w:rsidP="008E39BB">
      <w:pPr>
        <w:rPr>
          <w:sz w:val="20"/>
          <w:szCs w:val="20"/>
        </w:rPr>
      </w:pPr>
    </w:p>
    <w:p w:rsidR="008E39BB" w:rsidRDefault="008E39BB" w:rsidP="008E39BB">
      <w:pPr>
        <w:rPr>
          <w:sz w:val="20"/>
          <w:szCs w:val="20"/>
        </w:rPr>
      </w:pPr>
      <w:r>
        <w:rPr>
          <w:sz w:val="20"/>
          <w:szCs w:val="20"/>
        </w:rPr>
        <w:t>Book leverage is the rati</w:t>
      </w:r>
      <w:r w:rsidR="00FE3938">
        <w:rPr>
          <w:sz w:val="20"/>
          <w:szCs w:val="20"/>
        </w:rPr>
        <w:t>o of total debt to total assets</w:t>
      </w:r>
      <w:r>
        <w:rPr>
          <w:sz w:val="20"/>
          <w:szCs w:val="20"/>
        </w:rPr>
        <w:t>.  Market leverage is the ratio of debt to the sum of debt plus the market value of common stock.  For a given firm, the correlation between book and market leverage is calculated based on all sample years with nonmissing values of both leverage ratios.  The column partitions and row definitions are identical to those for boo</w:t>
      </w:r>
      <w:r w:rsidR="008003B3">
        <w:rPr>
          <w:sz w:val="20"/>
          <w:szCs w:val="20"/>
        </w:rPr>
        <w:t xml:space="preserve">k leverage in </w:t>
      </w:r>
      <w:r w:rsidR="00123D72">
        <w:rPr>
          <w:sz w:val="20"/>
          <w:szCs w:val="20"/>
        </w:rPr>
        <w:t>Panel</w:t>
      </w:r>
      <w:r w:rsidR="008003B3">
        <w:rPr>
          <w:sz w:val="20"/>
          <w:szCs w:val="20"/>
        </w:rPr>
        <w:t xml:space="preserve"> A of Table </w:t>
      </w:r>
      <w:r w:rsidR="00AA4744">
        <w:rPr>
          <w:sz w:val="20"/>
          <w:szCs w:val="20"/>
        </w:rPr>
        <w:t>IA.</w:t>
      </w:r>
      <w:r w:rsidR="008003B3">
        <w:rPr>
          <w:sz w:val="20"/>
          <w:szCs w:val="20"/>
        </w:rPr>
        <w:t>I</w:t>
      </w:r>
      <w:r>
        <w:rPr>
          <w:sz w:val="20"/>
          <w:szCs w:val="20"/>
        </w:rPr>
        <w:t>.  The sample inputs ar</w:t>
      </w:r>
      <w:r w:rsidR="004C7E2B">
        <w:rPr>
          <w:sz w:val="20"/>
          <w:szCs w:val="20"/>
        </w:rPr>
        <w:t xml:space="preserve">e identical to those for Table </w:t>
      </w:r>
      <w:r w:rsidR="00AA4744">
        <w:rPr>
          <w:sz w:val="20"/>
          <w:szCs w:val="20"/>
        </w:rPr>
        <w:t>IA.</w:t>
      </w:r>
      <w:r w:rsidR="004C7E2B">
        <w:rPr>
          <w:sz w:val="20"/>
          <w:szCs w:val="20"/>
        </w:rPr>
        <w:t>I</w:t>
      </w:r>
      <w:r>
        <w:rPr>
          <w:sz w:val="20"/>
          <w:szCs w:val="20"/>
        </w:rPr>
        <w:t>, with attention restricted to firms with at least two years of data in order to obtain meaningful correlation estimates.</w:t>
      </w:r>
    </w:p>
    <w:p w:rsidR="008E39BB" w:rsidRDefault="008E39BB" w:rsidP="008E39BB">
      <w:pPr>
        <w:rPr>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tblPr>
      <w:tblGrid>
        <w:gridCol w:w="2736"/>
        <w:gridCol w:w="1631"/>
        <w:gridCol w:w="1440"/>
        <w:gridCol w:w="1440"/>
        <w:gridCol w:w="1440"/>
        <w:gridCol w:w="1440"/>
        <w:gridCol w:w="1440"/>
        <w:gridCol w:w="1440"/>
      </w:tblGrid>
      <w:tr w:rsidR="008E39BB" w:rsidRPr="00E754FB" w:rsidTr="008E39BB">
        <w:trPr>
          <w:trHeight w:val="144"/>
          <w:jc w:val="center"/>
        </w:trPr>
        <w:tc>
          <w:tcPr>
            <w:tcW w:w="2736" w:type="dxa"/>
            <w:vAlign w:val="center"/>
          </w:tcPr>
          <w:p w:rsidR="00877535" w:rsidRDefault="00877535" w:rsidP="00DE2A70">
            <w:pPr>
              <w:jc w:val="left"/>
              <w:rPr>
                <w:rFonts w:ascii="Tahoma" w:hAnsi="Tahoma" w:cs="Tahoma"/>
                <w:sz w:val="20"/>
                <w:szCs w:val="20"/>
              </w:rPr>
            </w:pPr>
          </w:p>
        </w:tc>
        <w:tc>
          <w:tcPr>
            <w:tcW w:w="10271" w:type="dxa"/>
            <w:gridSpan w:val="7"/>
            <w:vAlign w:val="bottom"/>
          </w:tcPr>
          <w:p w:rsidR="008E39BB" w:rsidRPr="00E754FB" w:rsidRDefault="008E39BB" w:rsidP="008E39BB">
            <w:pPr>
              <w:jc w:val="center"/>
              <w:rPr>
                <w:sz w:val="20"/>
                <w:szCs w:val="20"/>
              </w:rPr>
            </w:pPr>
            <w:r>
              <w:rPr>
                <w:sz w:val="20"/>
                <w:szCs w:val="20"/>
              </w:rPr>
              <w:t>Median correlation between book and market leverage</w:t>
            </w:r>
          </w:p>
        </w:tc>
      </w:tr>
      <w:tr w:rsidR="008E39BB" w:rsidRPr="00E754FB" w:rsidTr="008E39BB">
        <w:trPr>
          <w:trHeight w:val="144"/>
          <w:jc w:val="center"/>
        </w:trPr>
        <w:tc>
          <w:tcPr>
            <w:tcW w:w="2736" w:type="dxa"/>
            <w:vAlign w:val="center"/>
          </w:tcPr>
          <w:p w:rsidR="00877535" w:rsidRDefault="00877535" w:rsidP="00DE2A70">
            <w:pPr>
              <w:jc w:val="left"/>
              <w:rPr>
                <w:rFonts w:ascii="Tahoma" w:hAnsi="Tahoma" w:cs="Tahoma"/>
                <w:sz w:val="20"/>
                <w:szCs w:val="20"/>
              </w:rPr>
            </w:pPr>
          </w:p>
        </w:tc>
        <w:tc>
          <w:tcPr>
            <w:tcW w:w="10271" w:type="dxa"/>
            <w:gridSpan w:val="7"/>
            <w:vAlign w:val="bottom"/>
          </w:tcPr>
          <w:p w:rsidR="008E39BB" w:rsidRPr="00E754FB" w:rsidRDefault="008E39BB" w:rsidP="008E39BB">
            <w:pPr>
              <w:jc w:val="center"/>
              <w:rPr>
                <w:sz w:val="20"/>
                <w:szCs w:val="20"/>
              </w:rPr>
            </w:pPr>
            <w:r>
              <w:rPr>
                <w:sz w:val="20"/>
                <w:szCs w:val="20"/>
              </w:rPr>
              <w:t>a</w:t>
            </w:r>
            <w:r w:rsidRPr="009716CB">
              <w:rPr>
                <w:sz w:val="20"/>
                <w:szCs w:val="20"/>
              </w:rPr>
              <w:t>mong firms with book leverage in the interval:</w:t>
            </w:r>
          </w:p>
        </w:tc>
      </w:tr>
      <w:tr w:rsidR="008E39BB" w:rsidRPr="00E754FB" w:rsidTr="00DE2A70">
        <w:trPr>
          <w:trHeight w:val="144"/>
          <w:jc w:val="center"/>
        </w:trPr>
        <w:tc>
          <w:tcPr>
            <w:tcW w:w="2736" w:type="dxa"/>
            <w:tcBorders>
              <w:bottom w:val="single" w:sz="4" w:space="0" w:color="auto"/>
            </w:tcBorders>
            <w:vAlign w:val="center"/>
          </w:tcPr>
          <w:p w:rsidR="00877535" w:rsidRDefault="008E39BB" w:rsidP="00DE2A70">
            <w:pPr>
              <w:jc w:val="left"/>
              <w:rPr>
                <w:sz w:val="20"/>
                <w:szCs w:val="20"/>
              </w:rPr>
            </w:pPr>
            <w:r>
              <w:rPr>
                <w:sz w:val="20"/>
                <w:szCs w:val="20"/>
              </w:rPr>
              <w:t>Number of years listed</w:t>
            </w:r>
          </w:p>
        </w:tc>
        <w:tc>
          <w:tcPr>
            <w:tcW w:w="1631" w:type="dxa"/>
            <w:tcBorders>
              <w:bottom w:val="single" w:sz="4" w:space="0" w:color="auto"/>
            </w:tcBorders>
            <w:vAlign w:val="bottom"/>
          </w:tcPr>
          <w:p w:rsidR="008E39BB" w:rsidRPr="00F362B9" w:rsidRDefault="008E39BB" w:rsidP="008E39BB">
            <w:pPr>
              <w:jc w:val="center"/>
              <w:rPr>
                <w:color w:val="000000"/>
                <w:sz w:val="20"/>
                <w:szCs w:val="20"/>
              </w:rPr>
            </w:pPr>
            <w:r>
              <w:rPr>
                <w:color w:val="000000"/>
                <w:sz w:val="20"/>
                <w:szCs w:val="20"/>
              </w:rPr>
              <w:t>All firms in row</w:t>
            </w:r>
          </w:p>
        </w:tc>
        <w:tc>
          <w:tcPr>
            <w:tcW w:w="1440" w:type="dxa"/>
            <w:tcBorders>
              <w:top w:val="single" w:sz="4" w:space="0" w:color="auto"/>
              <w:bottom w:val="single" w:sz="4" w:space="0" w:color="auto"/>
            </w:tcBorders>
            <w:vAlign w:val="bottom"/>
          </w:tcPr>
          <w:p w:rsidR="008E39BB" w:rsidRPr="00F362B9" w:rsidRDefault="008E39BB" w:rsidP="008E39BB">
            <w:pPr>
              <w:jc w:val="center"/>
              <w:rPr>
                <w:color w:val="000000"/>
                <w:sz w:val="20"/>
                <w:szCs w:val="20"/>
              </w:rPr>
            </w:pPr>
            <w:r w:rsidRPr="00E754FB">
              <w:rPr>
                <w:sz w:val="20"/>
                <w:szCs w:val="20"/>
              </w:rPr>
              <w:t>0.000to 0.100</w:t>
            </w:r>
          </w:p>
        </w:tc>
        <w:tc>
          <w:tcPr>
            <w:tcW w:w="1440" w:type="dxa"/>
            <w:tcBorders>
              <w:top w:val="single" w:sz="4" w:space="0" w:color="auto"/>
              <w:bottom w:val="single" w:sz="4" w:space="0" w:color="auto"/>
            </w:tcBorders>
            <w:vAlign w:val="bottom"/>
          </w:tcPr>
          <w:p w:rsidR="008E39BB" w:rsidRPr="00F362B9" w:rsidRDefault="008E39BB" w:rsidP="008E39BB">
            <w:pPr>
              <w:jc w:val="center"/>
              <w:rPr>
                <w:color w:val="000000"/>
                <w:sz w:val="20"/>
                <w:szCs w:val="20"/>
              </w:rPr>
            </w:pPr>
            <w:r w:rsidRPr="00E754FB">
              <w:rPr>
                <w:sz w:val="20"/>
                <w:szCs w:val="20"/>
              </w:rPr>
              <w:t>0.100to 0.200</w:t>
            </w:r>
          </w:p>
        </w:tc>
        <w:tc>
          <w:tcPr>
            <w:tcW w:w="1440" w:type="dxa"/>
            <w:tcBorders>
              <w:top w:val="single" w:sz="4" w:space="0" w:color="auto"/>
              <w:bottom w:val="single" w:sz="4" w:space="0" w:color="auto"/>
            </w:tcBorders>
            <w:vAlign w:val="bottom"/>
          </w:tcPr>
          <w:p w:rsidR="008E39BB" w:rsidRPr="00F362B9" w:rsidRDefault="008E39BB" w:rsidP="008E39BB">
            <w:pPr>
              <w:jc w:val="center"/>
              <w:rPr>
                <w:color w:val="000000"/>
                <w:sz w:val="20"/>
                <w:szCs w:val="20"/>
              </w:rPr>
            </w:pPr>
            <w:r w:rsidRPr="00E754FB">
              <w:rPr>
                <w:sz w:val="20"/>
                <w:szCs w:val="20"/>
              </w:rPr>
              <w:t>0.200to 0.300</w:t>
            </w:r>
          </w:p>
        </w:tc>
        <w:tc>
          <w:tcPr>
            <w:tcW w:w="1440" w:type="dxa"/>
            <w:tcBorders>
              <w:top w:val="single" w:sz="4" w:space="0" w:color="auto"/>
              <w:bottom w:val="single" w:sz="4" w:space="0" w:color="auto"/>
            </w:tcBorders>
            <w:vAlign w:val="bottom"/>
          </w:tcPr>
          <w:p w:rsidR="008E39BB" w:rsidRPr="00F362B9" w:rsidRDefault="008E39BB" w:rsidP="008E39BB">
            <w:pPr>
              <w:jc w:val="center"/>
              <w:rPr>
                <w:color w:val="000000"/>
                <w:sz w:val="20"/>
                <w:szCs w:val="20"/>
              </w:rPr>
            </w:pPr>
            <w:r w:rsidRPr="00E754FB">
              <w:rPr>
                <w:sz w:val="20"/>
                <w:szCs w:val="20"/>
              </w:rPr>
              <w:t>0.300to 0.400</w:t>
            </w:r>
          </w:p>
        </w:tc>
        <w:tc>
          <w:tcPr>
            <w:tcW w:w="1440" w:type="dxa"/>
            <w:tcBorders>
              <w:top w:val="single" w:sz="4" w:space="0" w:color="auto"/>
              <w:bottom w:val="single" w:sz="4" w:space="0" w:color="auto"/>
            </w:tcBorders>
            <w:vAlign w:val="bottom"/>
          </w:tcPr>
          <w:p w:rsidR="008E39BB" w:rsidRPr="00F362B9" w:rsidRDefault="008E39BB" w:rsidP="008E39BB">
            <w:pPr>
              <w:jc w:val="center"/>
              <w:rPr>
                <w:color w:val="000000"/>
                <w:sz w:val="20"/>
                <w:szCs w:val="20"/>
              </w:rPr>
            </w:pPr>
            <w:r w:rsidRPr="00E754FB">
              <w:rPr>
                <w:sz w:val="20"/>
                <w:szCs w:val="20"/>
              </w:rPr>
              <w:t>0.400to 0.500</w:t>
            </w:r>
          </w:p>
        </w:tc>
        <w:tc>
          <w:tcPr>
            <w:tcW w:w="1440" w:type="dxa"/>
            <w:tcBorders>
              <w:top w:val="single" w:sz="4" w:space="0" w:color="auto"/>
              <w:bottom w:val="single" w:sz="4" w:space="0" w:color="auto"/>
            </w:tcBorders>
            <w:vAlign w:val="bottom"/>
          </w:tcPr>
          <w:p w:rsidR="008E39BB" w:rsidRPr="00F362B9" w:rsidRDefault="008E39BB" w:rsidP="008E39BB">
            <w:pPr>
              <w:jc w:val="center"/>
              <w:rPr>
                <w:color w:val="000000"/>
                <w:sz w:val="20"/>
                <w:szCs w:val="20"/>
              </w:rPr>
            </w:pPr>
            <w:r w:rsidRPr="00E754FB">
              <w:rPr>
                <w:sz w:val="20"/>
                <w:szCs w:val="20"/>
              </w:rPr>
              <w:t>Above 0.500</w:t>
            </w:r>
          </w:p>
        </w:tc>
      </w:tr>
      <w:tr w:rsidR="008E39BB" w:rsidRPr="00E754FB" w:rsidTr="008E39BB">
        <w:trPr>
          <w:trHeight w:val="144"/>
          <w:jc w:val="center"/>
        </w:trPr>
        <w:tc>
          <w:tcPr>
            <w:tcW w:w="2736" w:type="dxa"/>
            <w:tcBorders>
              <w:top w:val="single" w:sz="4" w:space="0" w:color="auto"/>
              <w:bottom w:val="nil"/>
            </w:tcBorders>
            <w:vAlign w:val="center"/>
          </w:tcPr>
          <w:p w:rsidR="00877535" w:rsidRDefault="008E39BB" w:rsidP="00DE2A70">
            <w:pPr>
              <w:jc w:val="left"/>
              <w:rPr>
                <w:sz w:val="20"/>
                <w:szCs w:val="20"/>
              </w:rPr>
            </w:pPr>
            <w:r w:rsidRPr="00E754FB">
              <w:rPr>
                <w:sz w:val="20"/>
                <w:szCs w:val="20"/>
              </w:rPr>
              <w:t>20-plus</w:t>
            </w:r>
          </w:p>
        </w:tc>
        <w:tc>
          <w:tcPr>
            <w:tcW w:w="1631" w:type="dxa"/>
            <w:tcBorders>
              <w:top w:val="single" w:sz="4" w:space="0" w:color="auto"/>
              <w:bottom w:val="nil"/>
            </w:tcBorders>
            <w:vAlign w:val="center"/>
          </w:tcPr>
          <w:p w:rsidR="008E39BB" w:rsidRPr="00F362B9" w:rsidRDefault="008E39BB" w:rsidP="008E39BB">
            <w:pPr>
              <w:jc w:val="center"/>
              <w:rPr>
                <w:color w:val="000000"/>
                <w:sz w:val="20"/>
                <w:szCs w:val="20"/>
              </w:rPr>
            </w:pPr>
            <w:r w:rsidRPr="00F362B9">
              <w:rPr>
                <w:color w:val="000000"/>
                <w:sz w:val="20"/>
                <w:szCs w:val="20"/>
              </w:rPr>
              <w:t>0.820</w:t>
            </w:r>
          </w:p>
        </w:tc>
        <w:tc>
          <w:tcPr>
            <w:tcW w:w="1440" w:type="dxa"/>
            <w:tcBorders>
              <w:top w:val="single" w:sz="4" w:space="0" w:color="auto"/>
              <w:bottom w:val="nil"/>
            </w:tcBorders>
            <w:vAlign w:val="center"/>
          </w:tcPr>
          <w:p w:rsidR="008E39BB" w:rsidRPr="00F362B9" w:rsidRDefault="008E39BB" w:rsidP="008E39BB">
            <w:pPr>
              <w:jc w:val="center"/>
              <w:rPr>
                <w:color w:val="000000"/>
                <w:sz w:val="20"/>
                <w:szCs w:val="20"/>
              </w:rPr>
            </w:pPr>
            <w:r w:rsidRPr="00F362B9">
              <w:rPr>
                <w:color w:val="000000"/>
                <w:sz w:val="20"/>
                <w:szCs w:val="20"/>
              </w:rPr>
              <w:t>0.958</w:t>
            </w:r>
          </w:p>
        </w:tc>
        <w:tc>
          <w:tcPr>
            <w:tcW w:w="1440" w:type="dxa"/>
            <w:tcBorders>
              <w:top w:val="single" w:sz="4" w:space="0" w:color="auto"/>
              <w:bottom w:val="nil"/>
            </w:tcBorders>
            <w:vAlign w:val="center"/>
          </w:tcPr>
          <w:p w:rsidR="008E39BB" w:rsidRPr="00F362B9" w:rsidRDefault="008E39BB" w:rsidP="008E39BB">
            <w:pPr>
              <w:jc w:val="center"/>
              <w:rPr>
                <w:color w:val="000000"/>
                <w:sz w:val="20"/>
                <w:szCs w:val="20"/>
              </w:rPr>
            </w:pPr>
            <w:r w:rsidRPr="00F362B9">
              <w:rPr>
                <w:color w:val="000000"/>
                <w:sz w:val="20"/>
                <w:szCs w:val="20"/>
              </w:rPr>
              <w:t>0.824</w:t>
            </w:r>
          </w:p>
        </w:tc>
        <w:tc>
          <w:tcPr>
            <w:tcW w:w="1440" w:type="dxa"/>
            <w:tcBorders>
              <w:top w:val="single" w:sz="4" w:space="0" w:color="auto"/>
              <w:bottom w:val="nil"/>
            </w:tcBorders>
            <w:vAlign w:val="center"/>
          </w:tcPr>
          <w:p w:rsidR="008E39BB" w:rsidRPr="00F362B9" w:rsidRDefault="008E39BB" w:rsidP="008E39BB">
            <w:pPr>
              <w:jc w:val="center"/>
              <w:rPr>
                <w:color w:val="000000"/>
                <w:sz w:val="20"/>
                <w:szCs w:val="20"/>
              </w:rPr>
            </w:pPr>
            <w:r w:rsidRPr="00F362B9">
              <w:rPr>
                <w:color w:val="000000"/>
                <w:sz w:val="20"/>
                <w:szCs w:val="20"/>
              </w:rPr>
              <w:t>0.794</w:t>
            </w:r>
          </w:p>
        </w:tc>
        <w:tc>
          <w:tcPr>
            <w:tcW w:w="1440" w:type="dxa"/>
            <w:tcBorders>
              <w:top w:val="single" w:sz="4" w:space="0" w:color="auto"/>
              <w:bottom w:val="nil"/>
            </w:tcBorders>
            <w:vAlign w:val="center"/>
          </w:tcPr>
          <w:p w:rsidR="008E39BB" w:rsidRPr="00F362B9" w:rsidRDefault="008E39BB" w:rsidP="008E39BB">
            <w:pPr>
              <w:jc w:val="center"/>
              <w:rPr>
                <w:color w:val="000000"/>
                <w:sz w:val="20"/>
                <w:szCs w:val="20"/>
              </w:rPr>
            </w:pPr>
            <w:r w:rsidRPr="00F362B9">
              <w:rPr>
                <w:color w:val="000000"/>
                <w:sz w:val="20"/>
                <w:szCs w:val="20"/>
              </w:rPr>
              <w:t>0.808</w:t>
            </w:r>
          </w:p>
        </w:tc>
        <w:tc>
          <w:tcPr>
            <w:tcW w:w="1440" w:type="dxa"/>
            <w:tcBorders>
              <w:top w:val="single" w:sz="4" w:space="0" w:color="auto"/>
              <w:bottom w:val="nil"/>
            </w:tcBorders>
            <w:vAlign w:val="center"/>
          </w:tcPr>
          <w:p w:rsidR="008E39BB" w:rsidRPr="00F362B9" w:rsidRDefault="008E39BB" w:rsidP="008E39BB">
            <w:pPr>
              <w:jc w:val="center"/>
              <w:rPr>
                <w:color w:val="000000"/>
                <w:sz w:val="20"/>
                <w:szCs w:val="20"/>
              </w:rPr>
            </w:pPr>
            <w:r w:rsidRPr="00F362B9">
              <w:rPr>
                <w:color w:val="000000"/>
                <w:sz w:val="20"/>
                <w:szCs w:val="20"/>
              </w:rPr>
              <w:t>0.822</w:t>
            </w:r>
          </w:p>
        </w:tc>
        <w:tc>
          <w:tcPr>
            <w:tcW w:w="1440" w:type="dxa"/>
            <w:tcBorders>
              <w:top w:val="single" w:sz="4" w:space="0" w:color="auto"/>
              <w:bottom w:val="nil"/>
            </w:tcBorders>
            <w:vAlign w:val="center"/>
          </w:tcPr>
          <w:p w:rsidR="008E39BB" w:rsidRPr="00F362B9" w:rsidRDefault="008E39BB" w:rsidP="008E39BB">
            <w:pPr>
              <w:jc w:val="center"/>
              <w:rPr>
                <w:color w:val="000000"/>
                <w:sz w:val="20"/>
                <w:szCs w:val="20"/>
              </w:rPr>
            </w:pPr>
            <w:r w:rsidRPr="00F362B9">
              <w:rPr>
                <w:color w:val="000000"/>
                <w:sz w:val="20"/>
                <w:szCs w:val="20"/>
              </w:rPr>
              <w:t>0.832</w:t>
            </w:r>
          </w:p>
        </w:tc>
      </w:tr>
      <w:tr w:rsidR="008E39BB" w:rsidRPr="00E754FB" w:rsidTr="008E39BB">
        <w:trPr>
          <w:trHeight w:val="144"/>
          <w:jc w:val="center"/>
        </w:trPr>
        <w:tc>
          <w:tcPr>
            <w:tcW w:w="2736" w:type="dxa"/>
            <w:tcBorders>
              <w:top w:val="nil"/>
            </w:tcBorders>
            <w:vAlign w:val="center"/>
          </w:tcPr>
          <w:p w:rsidR="00877535" w:rsidRDefault="008E39BB" w:rsidP="00DE2A70">
            <w:pPr>
              <w:jc w:val="left"/>
              <w:rPr>
                <w:sz w:val="20"/>
                <w:szCs w:val="20"/>
              </w:rPr>
            </w:pPr>
            <w:r w:rsidRPr="00E754FB">
              <w:rPr>
                <w:sz w:val="20"/>
                <w:szCs w:val="20"/>
              </w:rPr>
              <w:t>15 to 19</w:t>
            </w:r>
          </w:p>
        </w:tc>
        <w:tc>
          <w:tcPr>
            <w:tcW w:w="1631" w:type="dxa"/>
            <w:tcBorders>
              <w:top w:val="nil"/>
            </w:tcBorders>
            <w:vAlign w:val="center"/>
          </w:tcPr>
          <w:p w:rsidR="008E39BB" w:rsidRPr="00F362B9" w:rsidRDefault="008E39BB" w:rsidP="008E39BB">
            <w:pPr>
              <w:jc w:val="center"/>
              <w:rPr>
                <w:color w:val="000000"/>
                <w:sz w:val="20"/>
                <w:szCs w:val="20"/>
              </w:rPr>
            </w:pPr>
            <w:r w:rsidRPr="00F362B9">
              <w:rPr>
                <w:color w:val="000000"/>
                <w:sz w:val="20"/>
                <w:szCs w:val="20"/>
              </w:rPr>
              <w:t>0.842</w:t>
            </w:r>
          </w:p>
        </w:tc>
        <w:tc>
          <w:tcPr>
            <w:tcW w:w="1440" w:type="dxa"/>
            <w:tcBorders>
              <w:top w:val="nil"/>
            </w:tcBorders>
            <w:vAlign w:val="center"/>
          </w:tcPr>
          <w:p w:rsidR="008E39BB" w:rsidRPr="00F362B9" w:rsidRDefault="008E39BB" w:rsidP="008E39BB">
            <w:pPr>
              <w:jc w:val="center"/>
              <w:rPr>
                <w:color w:val="000000"/>
                <w:sz w:val="20"/>
                <w:szCs w:val="20"/>
              </w:rPr>
            </w:pPr>
            <w:r w:rsidRPr="00F362B9">
              <w:rPr>
                <w:color w:val="000000"/>
                <w:sz w:val="20"/>
                <w:szCs w:val="20"/>
              </w:rPr>
              <w:t>0.948</w:t>
            </w:r>
          </w:p>
        </w:tc>
        <w:tc>
          <w:tcPr>
            <w:tcW w:w="1440" w:type="dxa"/>
            <w:tcBorders>
              <w:top w:val="nil"/>
            </w:tcBorders>
            <w:vAlign w:val="center"/>
          </w:tcPr>
          <w:p w:rsidR="008E39BB" w:rsidRPr="00F362B9" w:rsidRDefault="008E39BB" w:rsidP="008E39BB">
            <w:pPr>
              <w:jc w:val="center"/>
              <w:rPr>
                <w:color w:val="000000"/>
                <w:sz w:val="20"/>
                <w:szCs w:val="20"/>
              </w:rPr>
            </w:pPr>
            <w:r w:rsidRPr="00F362B9">
              <w:rPr>
                <w:color w:val="000000"/>
                <w:sz w:val="20"/>
                <w:szCs w:val="20"/>
              </w:rPr>
              <w:t>0.828</w:t>
            </w:r>
          </w:p>
        </w:tc>
        <w:tc>
          <w:tcPr>
            <w:tcW w:w="1440" w:type="dxa"/>
            <w:tcBorders>
              <w:top w:val="nil"/>
            </w:tcBorders>
            <w:vAlign w:val="center"/>
          </w:tcPr>
          <w:p w:rsidR="008E39BB" w:rsidRPr="00F362B9" w:rsidRDefault="008E39BB" w:rsidP="008E39BB">
            <w:pPr>
              <w:jc w:val="center"/>
              <w:rPr>
                <w:color w:val="000000"/>
                <w:sz w:val="20"/>
                <w:szCs w:val="20"/>
              </w:rPr>
            </w:pPr>
            <w:r w:rsidRPr="00F362B9">
              <w:rPr>
                <w:color w:val="000000"/>
                <w:sz w:val="20"/>
                <w:szCs w:val="20"/>
              </w:rPr>
              <w:t>0.831</w:t>
            </w:r>
          </w:p>
        </w:tc>
        <w:tc>
          <w:tcPr>
            <w:tcW w:w="1440" w:type="dxa"/>
            <w:tcBorders>
              <w:top w:val="nil"/>
            </w:tcBorders>
            <w:vAlign w:val="center"/>
          </w:tcPr>
          <w:p w:rsidR="008E39BB" w:rsidRPr="00F362B9" w:rsidRDefault="008E39BB" w:rsidP="008E39BB">
            <w:pPr>
              <w:jc w:val="center"/>
              <w:rPr>
                <w:color w:val="000000"/>
                <w:sz w:val="20"/>
                <w:szCs w:val="20"/>
              </w:rPr>
            </w:pPr>
            <w:r w:rsidRPr="00F362B9">
              <w:rPr>
                <w:color w:val="000000"/>
                <w:sz w:val="20"/>
                <w:szCs w:val="20"/>
              </w:rPr>
              <w:t>0.844</w:t>
            </w:r>
          </w:p>
        </w:tc>
        <w:tc>
          <w:tcPr>
            <w:tcW w:w="1440" w:type="dxa"/>
            <w:tcBorders>
              <w:top w:val="nil"/>
            </w:tcBorders>
            <w:vAlign w:val="center"/>
          </w:tcPr>
          <w:p w:rsidR="008E39BB" w:rsidRPr="00F362B9" w:rsidRDefault="008E39BB" w:rsidP="008E39BB">
            <w:pPr>
              <w:jc w:val="center"/>
              <w:rPr>
                <w:color w:val="000000"/>
                <w:sz w:val="20"/>
                <w:szCs w:val="20"/>
              </w:rPr>
            </w:pPr>
            <w:r w:rsidRPr="00F362B9">
              <w:rPr>
                <w:color w:val="000000"/>
                <w:sz w:val="20"/>
                <w:szCs w:val="20"/>
              </w:rPr>
              <w:t>0.827</w:t>
            </w:r>
          </w:p>
        </w:tc>
        <w:tc>
          <w:tcPr>
            <w:tcW w:w="1440" w:type="dxa"/>
            <w:tcBorders>
              <w:top w:val="nil"/>
            </w:tcBorders>
            <w:vAlign w:val="center"/>
          </w:tcPr>
          <w:p w:rsidR="008E39BB" w:rsidRPr="00F362B9" w:rsidRDefault="008E39BB" w:rsidP="008E39BB">
            <w:pPr>
              <w:jc w:val="center"/>
              <w:rPr>
                <w:color w:val="000000"/>
                <w:sz w:val="20"/>
                <w:szCs w:val="20"/>
              </w:rPr>
            </w:pPr>
            <w:r w:rsidRPr="00F362B9">
              <w:rPr>
                <w:color w:val="000000"/>
                <w:sz w:val="20"/>
                <w:szCs w:val="20"/>
              </w:rPr>
              <w:t>0.845</w:t>
            </w:r>
          </w:p>
        </w:tc>
      </w:tr>
      <w:tr w:rsidR="008E39BB" w:rsidRPr="00E754FB" w:rsidTr="008E39BB">
        <w:trPr>
          <w:trHeight w:val="144"/>
          <w:jc w:val="center"/>
        </w:trPr>
        <w:tc>
          <w:tcPr>
            <w:tcW w:w="2736" w:type="dxa"/>
            <w:vAlign w:val="center"/>
          </w:tcPr>
          <w:p w:rsidR="00877535" w:rsidRDefault="008E39BB" w:rsidP="00DE2A70">
            <w:pPr>
              <w:jc w:val="left"/>
              <w:rPr>
                <w:sz w:val="20"/>
                <w:szCs w:val="20"/>
              </w:rPr>
            </w:pPr>
            <w:r w:rsidRPr="00E754FB">
              <w:rPr>
                <w:sz w:val="20"/>
                <w:szCs w:val="20"/>
              </w:rPr>
              <w:t>10 to 14</w:t>
            </w:r>
          </w:p>
        </w:tc>
        <w:tc>
          <w:tcPr>
            <w:tcW w:w="1631" w:type="dxa"/>
            <w:vAlign w:val="center"/>
          </w:tcPr>
          <w:p w:rsidR="008E39BB" w:rsidRPr="00F362B9" w:rsidRDefault="008E39BB" w:rsidP="008E39BB">
            <w:pPr>
              <w:jc w:val="center"/>
              <w:rPr>
                <w:color w:val="000000"/>
                <w:sz w:val="20"/>
                <w:szCs w:val="20"/>
              </w:rPr>
            </w:pPr>
            <w:r w:rsidRPr="00F362B9">
              <w:rPr>
                <w:color w:val="000000"/>
                <w:sz w:val="20"/>
                <w:szCs w:val="20"/>
              </w:rPr>
              <w:t>0.857</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0.947</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0.795</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0.818</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0.861</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0.871</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0.858</w:t>
            </w:r>
          </w:p>
        </w:tc>
      </w:tr>
      <w:tr w:rsidR="008E39BB" w:rsidRPr="00E754FB" w:rsidTr="008E39BB">
        <w:trPr>
          <w:trHeight w:val="144"/>
          <w:jc w:val="center"/>
        </w:trPr>
        <w:tc>
          <w:tcPr>
            <w:tcW w:w="2736" w:type="dxa"/>
            <w:vAlign w:val="center"/>
          </w:tcPr>
          <w:p w:rsidR="00877535" w:rsidRDefault="008E39BB" w:rsidP="00DE2A70">
            <w:pPr>
              <w:jc w:val="left"/>
              <w:rPr>
                <w:sz w:val="20"/>
                <w:szCs w:val="20"/>
              </w:rPr>
            </w:pPr>
            <w:r w:rsidRPr="00E754FB">
              <w:rPr>
                <w:sz w:val="20"/>
                <w:szCs w:val="20"/>
              </w:rPr>
              <w:t>5 to 9</w:t>
            </w:r>
          </w:p>
        </w:tc>
        <w:tc>
          <w:tcPr>
            <w:tcW w:w="1631" w:type="dxa"/>
            <w:vAlign w:val="center"/>
          </w:tcPr>
          <w:p w:rsidR="008E39BB" w:rsidRPr="00F362B9" w:rsidRDefault="008E39BB" w:rsidP="008E39BB">
            <w:pPr>
              <w:jc w:val="center"/>
              <w:rPr>
                <w:color w:val="000000"/>
                <w:sz w:val="20"/>
                <w:szCs w:val="20"/>
              </w:rPr>
            </w:pPr>
            <w:r w:rsidRPr="00F362B9">
              <w:rPr>
                <w:color w:val="000000"/>
                <w:sz w:val="20"/>
                <w:szCs w:val="20"/>
              </w:rPr>
              <w:t>0.885</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0.898</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0.840</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0.868</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0.893</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0.916</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0.905</w:t>
            </w:r>
          </w:p>
        </w:tc>
      </w:tr>
      <w:tr w:rsidR="008E39BB" w:rsidRPr="00E754FB" w:rsidTr="008E39BB">
        <w:trPr>
          <w:trHeight w:val="144"/>
          <w:jc w:val="center"/>
        </w:trPr>
        <w:tc>
          <w:tcPr>
            <w:tcW w:w="2736" w:type="dxa"/>
            <w:vAlign w:val="center"/>
          </w:tcPr>
          <w:p w:rsidR="00877535" w:rsidRDefault="008E39BB" w:rsidP="00DE2A70">
            <w:pPr>
              <w:jc w:val="left"/>
              <w:rPr>
                <w:sz w:val="20"/>
                <w:szCs w:val="20"/>
              </w:rPr>
            </w:pPr>
            <w:r>
              <w:rPr>
                <w:sz w:val="20"/>
                <w:szCs w:val="20"/>
              </w:rPr>
              <w:t xml:space="preserve">2 to </w:t>
            </w:r>
            <w:r w:rsidRPr="00E754FB">
              <w:rPr>
                <w:sz w:val="20"/>
                <w:szCs w:val="20"/>
              </w:rPr>
              <w:t>4</w:t>
            </w:r>
          </w:p>
        </w:tc>
        <w:tc>
          <w:tcPr>
            <w:tcW w:w="1631" w:type="dxa"/>
            <w:vAlign w:val="center"/>
          </w:tcPr>
          <w:p w:rsidR="008E39BB" w:rsidRPr="00F362B9" w:rsidRDefault="008E39BB" w:rsidP="008E39BB">
            <w:pPr>
              <w:jc w:val="center"/>
              <w:rPr>
                <w:color w:val="000000"/>
                <w:sz w:val="20"/>
                <w:szCs w:val="20"/>
              </w:rPr>
            </w:pPr>
            <w:r w:rsidRPr="00F362B9">
              <w:rPr>
                <w:color w:val="000000"/>
                <w:sz w:val="20"/>
                <w:szCs w:val="20"/>
              </w:rPr>
              <w:t>0.986</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0.994</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0.972</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0.983</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0.983</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0.984</w:t>
            </w:r>
          </w:p>
        </w:tc>
        <w:tc>
          <w:tcPr>
            <w:tcW w:w="1440" w:type="dxa"/>
            <w:vAlign w:val="center"/>
          </w:tcPr>
          <w:p w:rsidR="008E39BB" w:rsidRPr="00F362B9" w:rsidRDefault="008E39BB" w:rsidP="008E39BB">
            <w:pPr>
              <w:jc w:val="center"/>
              <w:rPr>
                <w:color w:val="000000"/>
                <w:sz w:val="20"/>
                <w:szCs w:val="20"/>
              </w:rPr>
            </w:pPr>
            <w:r w:rsidRPr="00F362B9">
              <w:rPr>
                <w:color w:val="000000"/>
                <w:sz w:val="20"/>
                <w:szCs w:val="20"/>
              </w:rPr>
              <w:t>0.988</w:t>
            </w:r>
          </w:p>
        </w:tc>
      </w:tr>
      <w:tr w:rsidR="008E39BB" w:rsidRPr="00E754FB" w:rsidTr="008E39BB">
        <w:trPr>
          <w:trHeight w:val="144"/>
          <w:jc w:val="center"/>
        </w:trPr>
        <w:tc>
          <w:tcPr>
            <w:tcW w:w="2736" w:type="dxa"/>
            <w:tcBorders>
              <w:bottom w:val="nil"/>
            </w:tcBorders>
            <w:vAlign w:val="center"/>
          </w:tcPr>
          <w:p w:rsidR="00877535" w:rsidRDefault="00877535" w:rsidP="00DE2A70">
            <w:pPr>
              <w:jc w:val="left"/>
              <w:rPr>
                <w:rFonts w:ascii="Tahoma" w:hAnsi="Tahoma" w:cs="Tahoma"/>
                <w:sz w:val="20"/>
                <w:szCs w:val="20"/>
              </w:rPr>
            </w:pPr>
          </w:p>
        </w:tc>
        <w:tc>
          <w:tcPr>
            <w:tcW w:w="1631" w:type="dxa"/>
            <w:tcBorders>
              <w:bottom w:val="nil"/>
            </w:tcBorders>
            <w:vAlign w:val="center"/>
          </w:tcPr>
          <w:p w:rsidR="008E39BB" w:rsidRPr="00E754FB" w:rsidRDefault="008E39BB" w:rsidP="008E39BB">
            <w:pPr>
              <w:pStyle w:val="ListParagraph"/>
              <w:rPr>
                <w:sz w:val="20"/>
                <w:szCs w:val="20"/>
              </w:rPr>
            </w:pPr>
          </w:p>
        </w:tc>
        <w:tc>
          <w:tcPr>
            <w:tcW w:w="1440" w:type="dxa"/>
            <w:tcBorders>
              <w:bottom w:val="nil"/>
            </w:tcBorders>
            <w:vAlign w:val="center"/>
          </w:tcPr>
          <w:p w:rsidR="008E39BB" w:rsidRDefault="008E39BB" w:rsidP="008E39BB">
            <w:pPr>
              <w:jc w:val="center"/>
              <w:rPr>
                <w:color w:val="000000"/>
                <w:sz w:val="20"/>
                <w:szCs w:val="20"/>
              </w:rPr>
            </w:pPr>
          </w:p>
        </w:tc>
        <w:tc>
          <w:tcPr>
            <w:tcW w:w="1440" w:type="dxa"/>
            <w:tcBorders>
              <w:bottom w:val="nil"/>
            </w:tcBorders>
            <w:vAlign w:val="center"/>
          </w:tcPr>
          <w:p w:rsidR="008E39BB" w:rsidRDefault="008E39BB" w:rsidP="008E39BB">
            <w:pPr>
              <w:jc w:val="center"/>
              <w:rPr>
                <w:color w:val="000000"/>
                <w:sz w:val="20"/>
                <w:szCs w:val="20"/>
              </w:rPr>
            </w:pPr>
          </w:p>
        </w:tc>
        <w:tc>
          <w:tcPr>
            <w:tcW w:w="1440" w:type="dxa"/>
            <w:tcBorders>
              <w:bottom w:val="nil"/>
            </w:tcBorders>
            <w:vAlign w:val="center"/>
          </w:tcPr>
          <w:p w:rsidR="008E39BB" w:rsidRDefault="008E39BB" w:rsidP="008E39BB">
            <w:pPr>
              <w:jc w:val="center"/>
              <w:rPr>
                <w:color w:val="000000"/>
                <w:sz w:val="20"/>
                <w:szCs w:val="20"/>
              </w:rPr>
            </w:pPr>
          </w:p>
        </w:tc>
        <w:tc>
          <w:tcPr>
            <w:tcW w:w="1440" w:type="dxa"/>
            <w:tcBorders>
              <w:bottom w:val="nil"/>
            </w:tcBorders>
            <w:vAlign w:val="center"/>
          </w:tcPr>
          <w:p w:rsidR="008E39BB" w:rsidRDefault="008E39BB" w:rsidP="008E39BB">
            <w:pPr>
              <w:jc w:val="center"/>
              <w:rPr>
                <w:color w:val="000000"/>
                <w:sz w:val="20"/>
                <w:szCs w:val="20"/>
              </w:rPr>
            </w:pPr>
          </w:p>
        </w:tc>
        <w:tc>
          <w:tcPr>
            <w:tcW w:w="1440" w:type="dxa"/>
            <w:tcBorders>
              <w:bottom w:val="nil"/>
            </w:tcBorders>
            <w:vAlign w:val="center"/>
          </w:tcPr>
          <w:p w:rsidR="008E39BB" w:rsidRDefault="008E39BB" w:rsidP="008E39BB">
            <w:pPr>
              <w:jc w:val="center"/>
              <w:rPr>
                <w:color w:val="000000"/>
                <w:sz w:val="20"/>
                <w:szCs w:val="20"/>
              </w:rPr>
            </w:pPr>
          </w:p>
        </w:tc>
        <w:tc>
          <w:tcPr>
            <w:tcW w:w="1440" w:type="dxa"/>
            <w:tcBorders>
              <w:bottom w:val="nil"/>
            </w:tcBorders>
            <w:vAlign w:val="center"/>
          </w:tcPr>
          <w:p w:rsidR="008E39BB" w:rsidRDefault="008E39BB" w:rsidP="008E39BB">
            <w:pPr>
              <w:jc w:val="center"/>
              <w:rPr>
                <w:color w:val="000000"/>
                <w:sz w:val="20"/>
                <w:szCs w:val="20"/>
              </w:rPr>
            </w:pPr>
          </w:p>
        </w:tc>
      </w:tr>
      <w:tr w:rsidR="008E39BB" w:rsidRPr="00E754FB" w:rsidTr="008E39BB">
        <w:trPr>
          <w:trHeight w:val="144"/>
          <w:jc w:val="center"/>
        </w:trPr>
        <w:tc>
          <w:tcPr>
            <w:tcW w:w="2736" w:type="dxa"/>
            <w:tcBorders>
              <w:bottom w:val="nil"/>
            </w:tcBorders>
            <w:vAlign w:val="center"/>
          </w:tcPr>
          <w:p w:rsidR="00877535" w:rsidRDefault="009D2579" w:rsidP="00DE2A70">
            <w:pPr>
              <w:jc w:val="left"/>
              <w:rPr>
                <w:sz w:val="20"/>
                <w:szCs w:val="20"/>
              </w:rPr>
            </w:pPr>
            <w:r>
              <w:rPr>
                <w:sz w:val="20"/>
                <w:szCs w:val="20"/>
              </w:rPr>
              <w:t>Constant-comp</w:t>
            </w:r>
            <w:r w:rsidR="008E39BB">
              <w:rPr>
                <w:sz w:val="20"/>
                <w:szCs w:val="20"/>
              </w:rPr>
              <w:t>osition sample</w:t>
            </w:r>
          </w:p>
        </w:tc>
        <w:tc>
          <w:tcPr>
            <w:tcW w:w="1631" w:type="dxa"/>
            <w:tcBorders>
              <w:bottom w:val="nil"/>
            </w:tcBorders>
            <w:vAlign w:val="center"/>
          </w:tcPr>
          <w:p w:rsidR="008E39BB" w:rsidRPr="00E754FB" w:rsidRDefault="008E39BB" w:rsidP="008E39BB">
            <w:pPr>
              <w:pStyle w:val="ListParagraph"/>
              <w:ind w:left="0"/>
              <w:jc w:val="center"/>
              <w:rPr>
                <w:sz w:val="20"/>
                <w:szCs w:val="20"/>
              </w:rPr>
            </w:pPr>
            <w:r>
              <w:rPr>
                <w:sz w:val="20"/>
                <w:szCs w:val="20"/>
              </w:rPr>
              <w:t>0.787</w:t>
            </w:r>
          </w:p>
        </w:tc>
        <w:tc>
          <w:tcPr>
            <w:tcW w:w="1440" w:type="dxa"/>
            <w:tcBorders>
              <w:bottom w:val="nil"/>
            </w:tcBorders>
            <w:vAlign w:val="center"/>
          </w:tcPr>
          <w:p w:rsidR="008E39BB" w:rsidRDefault="008E39BB" w:rsidP="008E39BB">
            <w:pPr>
              <w:jc w:val="center"/>
              <w:rPr>
                <w:color w:val="000000"/>
                <w:sz w:val="20"/>
                <w:szCs w:val="20"/>
              </w:rPr>
            </w:pPr>
            <w:r>
              <w:rPr>
                <w:color w:val="000000"/>
                <w:sz w:val="20"/>
                <w:szCs w:val="20"/>
              </w:rPr>
              <w:t>---</w:t>
            </w:r>
          </w:p>
        </w:tc>
        <w:tc>
          <w:tcPr>
            <w:tcW w:w="1440" w:type="dxa"/>
            <w:tcBorders>
              <w:bottom w:val="nil"/>
            </w:tcBorders>
            <w:vAlign w:val="center"/>
          </w:tcPr>
          <w:p w:rsidR="008E39BB" w:rsidRDefault="008E39BB" w:rsidP="008E39BB">
            <w:pPr>
              <w:jc w:val="center"/>
              <w:rPr>
                <w:color w:val="000000"/>
                <w:sz w:val="20"/>
                <w:szCs w:val="20"/>
              </w:rPr>
            </w:pPr>
            <w:r>
              <w:rPr>
                <w:color w:val="000000"/>
                <w:sz w:val="20"/>
                <w:szCs w:val="20"/>
              </w:rPr>
              <w:t>0.741</w:t>
            </w:r>
          </w:p>
        </w:tc>
        <w:tc>
          <w:tcPr>
            <w:tcW w:w="1440" w:type="dxa"/>
            <w:tcBorders>
              <w:bottom w:val="nil"/>
            </w:tcBorders>
            <w:vAlign w:val="center"/>
          </w:tcPr>
          <w:p w:rsidR="008E39BB" w:rsidRDefault="008E39BB" w:rsidP="008E39BB">
            <w:pPr>
              <w:jc w:val="center"/>
              <w:rPr>
                <w:color w:val="000000"/>
                <w:sz w:val="20"/>
                <w:szCs w:val="20"/>
              </w:rPr>
            </w:pPr>
            <w:r>
              <w:rPr>
                <w:color w:val="000000"/>
                <w:sz w:val="20"/>
                <w:szCs w:val="20"/>
              </w:rPr>
              <w:t>0.743</w:t>
            </w:r>
          </w:p>
        </w:tc>
        <w:tc>
          <w:tcPr>
            <w:tcW w:w="1440" w:type="dxa"/>
            <w:tcBorders>
              <w:bottom w:val="nil"/>
            </w:tcBorders>
            <w:vAlign w:val="center"/>
          </w:tcPr>
          <w:p w:rsidR="008E39BB" w:rsidRDefault="008E39BB" w:rsidP="008E39BB">
            <w:pPr>
              <w:jc w:val="center"/>
              <w:rPr>
                <w:color w:val="000000"/>
                <w:sz w:val="20"/>
                <w:szCs w:val="20"/>
              </w:rPr>
            </w:pPr>
            <w:r>
              <w:rPr>
                <w:color w:val="000000"/>
                <w:sz w:val="20"/>
                <w:szCs w:val="20"/>
              </w:rPr>
              <w:t>0.767</w:t>
            </w:r>
          </w:p>
        </w:tc>
        <w:tc>
          <w:tcPr>
            <w:tcW w:w="1440" w:type="dxa"/>
            <w:tcBorders>
              <w:bottom w:val="nil"/>
            </w:tcBorders>
            <w:vAlign w:val="center"/>
          </w:tcPr>
          <w:p w:rsidR="008E39BB" w:rsidRDefault="008E39BB" w:rsidP="008E39BB">
            <w:pPr>
              <w:jc w:val="center"/>
              <w:rPr>
                <w:color w:val="000000"/>
                <w:sz w:val="20"/>
                <w:szCs w:val="20"/>
              </w:rPr>
            </w:pPr>
            <w:r>
              <w:rPr>
                <w:color w:val="000000"/>
                <w:sz w:val="20"/>
                <w:szCs w:val="20"/>
              </w:rPr>
              <w:t>0.807</w:t>
            </w:r>
          </w:p>
        </w:tc>
        <w:tc>
          <w:tcPr>
            <w:tcW w:w="1440" w:type="dxa"/>
            <w:tcBorders>
              <w:bottom w:val="nil"/>
            </w:tcBorders>
            <w:vAlign w:val="center"/>
          </w:tcPr>
          <w:p w:rsidR="008E39BB" w:rsidRDefault="008E39BB" w:rsidP="008E39BB">
            <w:pPr>
              <w:jc w:val="center"/>
              <w:rPr>
                <w:color w:val="000000"/>
                <w:sz w:val="20"/>
                <w:szCs w:val="20"/>
              </w:rPr>
            </w:pPr>
            <w:r>
              <w:rPr>
                <w:color w:val="000000"/>
                <w:sz w:val="20"/>
                <w:szCs w:val="20"/>
              </w:rPr>
              <w:t>0.790</w:t>
            </w:r>
          </w:p>
        </w:tc>
      </w:tr>
      <w:tr w:rsidR="008E39BB" w:rsidRPr="00E754FB" w:rsidTr="008E39BB">
        <w:trPr>
          <w:trHeight w:val="144"/>
          <w:jc w:val="center"/>
        </w:trPr>
        <w:tc>
          <w:tcPr>
            <w:tcW w:w="2736" w:type="dxa"/>
            <w:tcBorders>
              <w:bottom w:val="nil"/>
            </w:tcBorders>
            <w:vAlign w:val="center"/>
          </w:tcPr>
          <w:p w:rsidR="00877535" w:rsidRDefault="00877535" w:rsidP="00DE2A70">
            <w:pPr>
              <w:jc w:val="left"/>
              <w:rPr>
                <w:rFonts w:ascii="Tahoma" w:hAnsi="Tahoma" w:cs="Tahoma"/>
                <w:sz w:val="20"/>
                <w:szCs w:val="20"/>
              </w:rPr>
            </w:pPr>
          </w:p>
        </w:tc>
        <w:tc>
          <w:tcPr>
            <w:tcW w:w="1631" w:type="dxa"/>
            <w:tcBorders>
              <w:bottom w:val="nil"/>
            </w:tcBorders>
            <w:vAlign w:val="center"/>
          </w:tcPr>
          <w:p w:rsidR="008E39BB" w:rsidRPr="00E754FB" w:rsidRDefault="008E39BB" w:rsidP="008E39BB">
            <w:pPr>
              <w:pStyle w:val="ListParagraph"/>
              <w:rPr>
                <w:sz w:val="20"/>
                <w:szCs w:val="20"/>
              </w:rPr>
            </w:pPr>
          </w:p>
        </w:tc>
        <w:tc>
          <w:tcPr>
            <w:tcW w:w="1440" w:type="dxa"/>
            <w:tcBorders>
              <w:bottom w:val="nil"/>
            </w:tcBorders>
            <w:vAlign w:val="center"/>
          </w:tcPr>
          <w:p w:rsidR="008E39BB" w:rsidRPr="00E754FB" w:rsidRDefault="008E39BB" w:rsidP="008E39BB">
            <w:pPr>
              <w:jc w:val="center"/>
              <w:rPr>
                <w:sz w:val="20"/>
                <w:szCs w:val="20"/>
              </w:rPr>
            </w:pPr>
          </w:p>
        </w:tc>
        <w:tc>
          <w:tcPr>
            <w:tcW w:w="1440" w:type="dxa"/>
            <w:tcBorders>
              <w:bottom w:val="nil"/>
            </w:tcBorders>
            <w:vAlign w:val="center"/>
          </w:tcPr>
          <w:p w:rsidR="008E39BB" w:rsidRPr="00E754FB" w:rsidRDefault="008E39BB" w:rsidP="008E39BB">
            <w:pPr>
              <w:jc w:val="center"/>
              <w:rPr>
                <w:sz w:val="20"/>
                <w:szCs w:val="20"/>
              </w:rPr>
            </w:pPr>
          </w:p>
        </w:tc>
        <w:tc>
          <w:tcPr>
            <w:tcW w:w="1440" w:type="dxa"/>
            <w:tcBorders>
              <w:bottom w:val="nil"/>
            </w:tcBorders>
            <w:vAlign w:val="center"/>
          </w:tcPr>
          <w:p w:rsidR="008E39BB" w:rsidRPr="00E754FB" w:rsidRDefault="008E39BB" w:rsidP="008E39BB">
            <w:pPr>
              <w:jc w:val="center"/>
              <w:rPr>
                <w:sz w:val="20"/>
                <w:szCs w:val="20"/>
              </w:rPr>
            </w:pPr>
          </w:p>
        </w:tc>
        <w:tc>
          <w:tcPr>
            <w:tcW w:w="1440" w:type="dxa"/>
            <w:tcBorders>
              <w:bottom w:val="nil"/>
            </w:tcBorders>
            <w:vAlign w:val="center"/>
          </w:tcPr>
          <w:p w:rsidR="008E39BB" w:rsidRPr="00E754FB" w:rsidRDefault="008E39BB" w:rsidP="008E39BB">
            <w:pPr>
              <w:jc w:val="center"/>
              <w:rPr>
                <w:sz w:val="20"/>
                <w:szCs w:val="20"/>
              </w:rPr>
            </w:pPr>
          </w:p>
        </w:tc>
        <w:tc>
          <w:tcPr>
            <w:tcW w:w="1440" w:type="dxa"/>
            <w:tcBorders>
              <w:bottom w:val="nil"/>
            </w:tcBorders>
            <w:vAlign w:val="center"/>
          </w:tcPr>
          <w:p w:rsidR="008E39BB" w:rsidRPr="00E754FB" w:rsidRDefault="008E39BB" w:rsidP="008E39BB">
            <w:pPr>
              <w:jc w:val="center"/>
              <w:rPr>
                <w:sz w:val="20"/>
                <w:szCs w:val="20"/>
              </w:rPr>
            </w:pPr>
          </w:p>
        </w:tc>
        <w:tc>
          <w:tcPr>
            <w:tcW w:w="1440" w:type="dxa"/>
            <w:tcBorders>
              <w:bottom w:val="nil"/>
            </w:tcBorders>
            <w:vAlign w:val="center"/>
          </w:tcPr>
          <w:p w:rsidR="008E39BB" w:rsidRPr="00E754FB" w:rsidRDefault="008E39BB" w:rsidP="008E39BB">
            <w:pPr>
              <w:jc w:val="center"/>
              <w:rPr>
                <w:sz w:val="20"/>
                <w:szCs w:val="20"/>
              </w:rPr>
            </w:pPr>
          </w:p>
        </w:tc>
      </w:tr>
      <w:tr w:rsidR="008E39BB" w:rsidRPr="00E754FB" w:rsidTr="008E39BB">
        <w:trPr>
          <w:trHeight w:val="144"/>
          <w:jc w:val="center"/>
        </w:trPr>
        <w:tc>
          <w:tcPr>
            <w:tcW w:w="2736" w:type="dxa"/>
            <w:tcBorders>
              <w:bottom w:val="nil"/>
            </w:tcBorders>
            <w:vAlign w:val="center"/>
          </w:tcPr>
          <w:p w:rsidR="00877535" w:rsidRDefault="008E39BB" w:rsidP="00DE2A70">
            <w:pPr>
              <w:jc w:val="left"/>
              <w:rPr>
                <w:sz w:val="20"/>
                <w:szCs w:val="20"/>
              </w:rPr>
            </w:pPr>
            <w:r>
              <w:rPr>
                <w:sz w:val="20"/>
                <w:szCs w:val="20"/>
              </w:rPr>
              <w:t>Full sample</w:t>
            </w:r>
          </w:p>
        </w:tc>
        <w:tc>
          <w:tcPr>
            <w:tcW w:w="1631" w:type="dxa"/>
            <w:tcBorders>
              <w:bottom w:val="nil"/>
            </w:tcBorders>
            <w:vAlign w:val="center"/>
          </w:tcPr>
          <w:p w:rsidR="008E39BB" w:rsidRPr="00F362B9" w:rsidRDefault="008E39BB" w:rsidP="008E39BB">
            <w:pPr>
              <w:jc w:val="center"/>
              <w:rPr>
                <w:color w:val="000000"/>
                <w:sz w:val="20"/>
                <w:szCs w:val="20"/>
              </w:rPr>
            </w:pPr>
            <w:r w:rsidRPr="00F362B9">
              <w:rPr>
                <w:color w:val="000000"/>
                <w:sz w:val="20"/>
                <w:szCs w:val="20"/>
              </w:rPr>
              <w:t>0.878</w:t>
            </w:r>
          </w:p>
        </w:tc>
        <w:tc>
          <w:tcPr>
            <w:tcW w:w="1440" w:type="dxa"/>
            <w:tcBorders>
              <w:bottom w:val="nil"/>
            </w:tcBorders>
            <w:vAlign w:val="center"/>
          </w:tcPr>
          <w:p w:rsidR="008E39BB" w:rsidRPr="00F362B9" w:rsidRDefault="008E39BB" w:rsidP="008E39BB">
            <w:pPr>
              <w:jc w:val="center"/>
              <w:rPr>
                <w:color w:val="000000"/>
                <w:sz w:val="20"/>
                <w:szCs w:val="20"/>
              </w:rPr>
            </w:pPr>
            <w:r w:rsidRPr="00F362B9">
              <w:rPr>
                <w:color w:val="000000"/>
                <w:sz w:val="20"/>
                <w:szCs w:val="20"/>
              </w:rPr>
              <w:t>0.959</w:t>
            </w:r>
          </w:p>
        </w:tc>
        <w:tc>
          <w:tcPr>
            <w:tcW w:w="1440" w:type="dxa"/>
            <w:tcBorders>
              <w:bottom w:val="nil"/>
            </w:tcBorders>
            <w:vAlign w:val="center"/>
          </w:tcPr>
          <w:p w:rsidR="008E39BB" w:rsidRPr="00F362B9" w:rsidRDefault="008E39BB" w:rsidP="008E39BB">
            <w:pPr>
              <w:jc w:val="center"/>
              <w:rPr>
                <w:color w:val="000000"/>
                <w:sz w:val="20"/>
                <w:szCs w:val="20"/>
              </w:rPr>
            </w:pPr>
            <w:r w:rsidRPr="00F362B9">
              <w:rPr>
                <w:color w:val="000000"/>
                <w:sz w:val="20"/>
                <w:szCs w:val="20"/>
              </w:rPr>
              <w:t>0.876</w:t>
            </w:r>
          </w:p>
        </w:tc>
        <w:tc>
          <w:tcPr>
            <w:tcW w:w="1440" w:type="dxa"/>
            <w:tcBorders>
              <w:bottom w:val="nil"/>
            </w:tcBorders>
            <w:vAlign w:val="center"/>
          </w:tcPr>
          <w:p w:rsidR="008E39BB" w:rsidRPr="00F362B9" w:rsidRDefault="008E39BB" w:rsidP="008E39BB">
            <w:pPr>
              <w:jc w:val="center"/>
              <w:rPr>
                <w:color w:val="000000"/>
                <w:sz w:val="20"/>
                <w:szCs w:val="20"/>
              </w:rPr>
            </w:pPr>
            <w:r w:rsidRPr="00F362B9">
              <w:rPr>
                <w:color w:val="000000"/>
                <w:sz w:val="20"/>
                <w:szCs w:val="20"/>
              </w:rPr>
              <w:t>0.856</w:t>
            </w:r>
          </w:p>
        </w:tc>
        <w:tc>
          <w:tcPr>
            <w:tcW w:w="1440" w:type="dxa"/>
            <w:tcBorders>
              <w:bottom w:val="nil"/>
            </w:tcBorders>
            <w:vAlign w:val="center"/>
          </w:tcPr>
          <w:p w:rsidR="008E39BB" w:rsidRPr="00F362B9" w:rsidRDefault="008E39BB" w:rsidP="008E39BB">
            <w:pPr>
              <w:jc w:val="center"/>
              <w:rPr>
                <w:color w:val="000000"/>
                <w:sz w:val="20"/>
                <w:szCs w:val="20"/>
              </w:rPr>
            </w:pPr>
            <w:r w:rsidRPr="00F362B9">
              <w:rPr>
                <w:color w:val="000000"/>
                <w:sz w:val="20"/>
                <w:szCs w:val="20"/>
              </w:rPr>
              <w:t>0.864</w:t>
            </w:r>
          </w:p>
        </w:tc>
        <w:tc>
          <w:tcPr>
            <w:tcW w:w="1440" w:type="dxa"/>
            <w:tcBorders>
              <w:bottom w:val="nil"/>
            </w:tcBorders>
            <w:vAlign w:val="center"/>
          </w:tcPr>
          <w:p w:rsidR="008E39BB" w:rsidRPr="00F362B9" w:rsidRDefault="008E39BB" w:rsidP="008E39BB">
            <w:pPr>
              <w:jc w:val="center"/>
              <w:rPr>
                <w:color w:val="000000"/>
                <w:sz w:val="20"/>
                <w:szCs w:val="20"/>
              </w:rPr>
            </w:pPr>
            <w:r w:rsidRPr="00F362B9">
              <w:rPr>
                <w:color w:val="000000"/>
                <w:sz w:val="20"/>
                <w:szCs w:val="20"/>
              </w:rPr>
              <w:t>0.871</w:t>
            </w:r>
          </w:p>
        </w:tc>
        <w:tc>
          <w:tcPr>
            <w:tcW w:w="1440" w:type="dxa"/>
            <w:tcBorders>
              <w:bottom w:val="nil"/>
            </w:tcBorders>
            <w:vAlign w:val="center"/>
          </w:tcPr>
          <w:p w:rsidR="008E39BB" w:rsidRPr="00F362B9" w:rsidRDefault="008E39BB" w:rsidP="008E39BB">
            <w:pPr>
              <w:jc w:val="center"/>
              <w:rPr>
                <w:color w:val="000000"/>
                <w:sz w:val="20"/>
                <w:szCs w:val="20"/>
              </w:rPr>
            </w:pPr>
            <w:r w:rsidRPr="00F362B9">
              <w:rPr>
                <w:color w:val="000000"/>
                <w:sz w:val="20"/>
                <w:szCs w:val="20"/>
              </w:rPr>
              <w:t>0.871</w:t>
            </w:r>
          </w:p>
        </w:tc>
      </w:tr>
      <w:tr w:rsidR="008E39BB" w:rsidRPr="00E754FB" w:rsidTr="008E39BB">
        <w:trPr>
          <w:trHeight w:val="144"/>
          <w:jc w:val="center"/>
        </w:trPr>
        <w:tc>
          <w:tcPr>
            <w:tcW w:w="2736" w:type="dxa"/>
            <w:tcBorders>
              <w:top w:val="nil"/>
              <w:bottom w:val="single" w:sz="4" w:space="0" w:color="auto"/>
            </w:tcBorders>
            <w:vAlign w:val="center"/>
          </w:tcPr>
          <w:p w:rsidR="00877535" w:rsidRDefault="00877535" w:rsidP="00DE2A70">
            <w:pPr>
              <w:jc w:val="left"/>
              <w:rPr>
                <w:rFonts w:ascii="Tahoma" w:hAnsi="Tahoma" w:cs="Tahoma"/>
                <w:sz w:val="20"/>
                <w:szCs w:val="20"/>
              </w:rPr>
            </w:pPr>
          </w:p>
        </w:tc>
        <w:tc>
          <w:tcPr>
            <w:tcW w:w="1631" w:type="dxa"/>
            <w:tcBorders>
              <w:top w:val="nil"/>
              <w:bottom w:val="single" w:sz="4" w:space="0" w:color="auto"/>
            </w:tcBorders>
            <w:vAlign w:val="center"/>
          </w:tcPr>
          <w:p w:rsidR="008E39BB" w:rsidRPr="00E754FB" w:rsidRDefault="008E39BB" w:rsidP="008E39BB">
            <w:pPr>
              <w:pStyle w:val="ListParagraph"/>
              <w:rPr>
                <w:sz w:val="20"/>
                <w:szCs w:val="20"/>
              </w:rPr>
            </w:pPr>
          </w:p>
        </w:tc>
        <w:tc>
          <w:tcPr>
            <w:tcW w:w="1440" w:type="dxa"/>
            <w:tcBorders>
              <w:top w:val="nil"/>
              <w:bottom w:val="single" w:sz="4" w:space="0" w:color="auto"/>
            </w:tcBorders>
            <w:vAlign w:val="center"/>
          </w:tcPr>
          <w:p w:rsidR="008E39BB" w:rsidRPr="00E754FB" w:rsidRDefault="008E39BB" w:rsidP="008E39BB">
            <w:pPr>
              <w:jc w:val="center"/>
              <w:rPr>
                <w:sz w:val="20"/>
                <w:szCs w:val="20"/>
              </w:rPr>
            </w:pPr>
          </w:p>
        </w:tc>
        <w:tc>
          <w:tcPr>
            <w:tcW w:w="1440" w:type="dxa"/>
            <w:tcBorders>
              <w:top w:val="nil"/>
              <w:bottom w:val="single" w:sz="4" w:space="0" w:color="auto"/>
            </w:tcBorders>
            <w:vAlign w:val="center"/>
          </w:tcPr>
          <w:p w:rsidR="008E39BB" w:rsidRPr="00E754FB" w:rsidRDefault="008E39BB" w:rsidP="008E39BB">
            <w:pPr>
              <w:jc w:val="center"/>
              <w:rPr>
                <w:sz w:val="20"/>
                <w:szCs w:val="20"/>
              </w:rPr>
            </w:pPr>
          </w:p>
        </w:tc>
        <w:tc>
          <w:tcPr>
            <w:tcW w:w="1440" w:type="dxa"/>
            <w:tcBorders>
              <w:top w:val="nil"/>
              <w:bottom w:val="single" w:sz="4" w:space="0" w:color="auto"/>
            </w:tcBorders>
            <w:vAlign w:val="center"/>
          </w:tcPr>
          <w:p w:rsidR="008E39BB" w:rsidRPr="00E754FB" w:rsidRDefault="008E39BB" w:rsidP="008E39BB">
            <w:pPr>
              <w:jc w:val="center"/>
              <w:rPr>
                <w:sz w:val="20"/>
                <w:szCs w:val="20"/>
              </w:rPr>
            </w:pPr>
          </w:p>
        </w:tc>
        <w:tc>
          <w:tcPr>
            <w:tcW w:w="1440" w:type="dxa"/>
            <w:tcBorders>
              <w:top w:val="nil"/>
              <w:bottom w:val="single" w:sz="4" w:space="0" w:color="auto"/>
            </w:tcBorders>
            <w:vAlign w:val="center"/>
          </w:tcPr>
          <w:p w:rsidR="008E39BB" w:rsidRPr="00E754FB" w:rsidRDefault="008E39BB" w:rsidP="008E39BB">
            <w:pPr>
              <w:jc w:val="center"/>
              <w:rPr>
                <w:sz w:val="20"/>
                <w:szCs w:val="20"/>
              </w:rPr>
            </w:pPr>
          </w:p>
        </w:tc>
        <w:tc>
          <w:tcPr>
            <w:tcW w:w="1440" w:type="dxa"/>
            <w:tcBorders>
              <w:top w:val="nil"/>
              <w:bottom w:val="single" w:sz="4" w:space="0" w:color="auto"/>
            </w:tcBorders>
            <w:vAlign w:val="center"/>
          </w:tcPr>
          <w:p w:rsidR="008E39BB" w:rsidRPr="00E754FB" w:rsidRDefault="008E39BB" w:rsidP="008E39BB">
            <w:pPr>
              <w:jc w:val="center"/>
              <w:rPr>
                <w:sz w:val="20"/>
                <w:szCs w:val="20"/>
              </w:rPr>
            </w:pPr>
          </w:p>
        </w:tc>
        <w:tc>
          <w:tcPr>
            <w:tcW w:w="1440" w:type="dxa"/>
            <w:tcBorders>
              <w:top w:val="nil"/>
              <w:bottom w:val="single" w:sz="4" w:space="0" w:color="auto"/>
            </w:tcBorders>
            <w:vAlign w:val="center"/>
          </w:tcPr>
          <w:p w:rsidR="008E39BB" w:rsidRPr="00E754FB" w:rsidRDefault="008E39BB" w:rsidP="008E39BB">
            <w:pPr>
              <w:jc w:val="center"/>
              <w:rPr>
                <w:sz w:val="20"/>
                <w:szCs w:val="20"/>
              </w:rPr>
            </w:pPr>
          </w:p>
        </w:tc>
      </w:tr>
    </w:tbl>
    <w:p w:rsidR="008E39BB" w:rsidRDefault="008E39BB" w:rsidP="008E39BB">
      <w:pPr>
        <w:rPr>
          <w:sz w:val="20"/>
          <w:szCs w:val="20"/>
        </w:rPr>
      </w:pPr>
    </w:p>
    <w:p w:rsidR="008E39BB" w:rsidRDefault="008E39BB" w:rsidP="008E39BB">
      <w:pPr>
        <w:rPr>
          <w:sz w:val="20"/>
          <w:szCs w:val="20"/>
        </w:rPr>
      </w:pPr>
    </w:p>
    <w:p w:rsidR="008E39BB" w:rsidRPr="007C6637" w:rsidRDefault="008E39BB" w:rsidP="008E39BB">
      <w:pPr>
        <w:widowControl w:val="0"/>
        <w:rPr>
          <w:sz w:val="20"/>
          <w:szCs w:val="20"/>
        </w:rPr>
      </w:pPr>
    </w:p>
    <w:p w:rsidR="008E39BB" w:rsidRDefault="008E39BB" w:rsidP="008E39BB">
      <w:pPr>
        <w:widowControl w:val="0"/>
        <w:spacing w:line="480" w:lineRule="auto"/>
        <w:ind w:firstLine="720"/>
        <w:rPr>
          <w:sz w:val="20"/>
          <w:szCs w:val="20"/>
        </w:rPr>
        <w:sectPr w:rsidR="008E39BB" w:rsidSect="00074377">
          <w:pgSz w:w="15840" w:h="12240" w:orient="landscape"/>
          <w:pgMar w:top="1440" w:right="1440" w:bottom="1440" w:left="1440" w:header="720" w:footer="720" w:gutter="0"/>
          <w:cols w:space="720"/>
          <w:docGrid w:linePitch="360"/>
        </w:sectPr>
      </w:pPr>
    </w:p>
    <w:p w:rsidR="008E39BB" w:rsidRDefault="008E39BB" w:rsidP="008E39BB">
      <w:pPr>
        <w:widowControl w:val="0"/>
        <w:jc w:val="center"/>
        <w:rPr>
          <w:b/>
          <w:sz w:val="20"/>
          <w:szCs w:val="20"/>
        </w:rPr>
      </w:pPr>
    </w:p>
    <w:p w:rsidR="008E39BB" w:rsidRDefault="008E39BB" w:rsidP="008E39BB">
      <w:pPr>
        <w:widowControl w:val="0"/>
        <w:jc w:val="center"/>
        <w:rPr>
          <w:b/>
          <w:sz w:val="20"/>
          <w:szCs w:val="20"/>
        </w:rPr>
      </w:pPr>
    </w:p>
    <w:p w:rsidR="008E39BB" w:rsidRDefault="008E39BB" w:rsidP="008E39BB">
      <w:pPr>
        <w:widowControl w:val="0"/>
        <w:jc w:val="center"/>
        <w:rPr>
          <w:b/>
          <w:sz w:val="20"/>
          <w:szCs w:val="20"/>
        </w:rPr>
      </w:pPr>
    </w:p>
    <w:p w:rsidR="008E39BB" w:rsidRDefault="008E39BB" w:rsidP="008E39BB">
      <w:pPr>
        <w:widowControl w:val="0"/>
        <w:jc w:val="center"/>
        <w:rPr>
          <w:b/>
          <w:sz w:val="20"/>
          <w:szCs w:val="20"/>
        </w:rPr>
      </w:pPr>
    </w:p>
    <w:p w:rsidR="008E39BB" w:rsidRPr="00D4313A" w:rsidRDefault="0067344F" w:rsidP="008E39BB">
      <w:pPr>
        <w:widowControl w:val="0"/>
        <w:jc w:val="center"/>
        <w:rPr>
          <w:b/>
          <w:sz w:val="20"/>
          <w:szCs w:val="20"/>
        </w:rPr>
      </w:pPr>
      <w:r>
        <w:rPr>
          <w:b/>
          <w:sz w:val="20"/>
          <w:szCs w:val="20"/>
        </w:rPr>
        <w:t xml:space="preserve">Table </w:t>
      </w:r>
      <w:r w:rsidR="00AA4744">
        <w:rPr>
          <w:b/>
          <w:sz w:val="20"/>
          <w:szCs w:val="20"/>
        </w:rPr>
        <w:t>IA.</w:t>
      </w:r>
      <w:r w:rsidR="00E84F3B">
        <w:rPr>
          <w:b/>
          <w:sz w:val="20"/>
          <w:szCs w:val="20"/>
        </w:rPr>
        <w:t>IV</w:t>
      </w:r>
    </w:p>
    <w:p w:rsidR="008E39BB" w:rsidRPr="00D4313A" w:rsidRDefault="008E39BB" w:rsidP="008E39BB">
      <w:pPr>
        <w:widowControl w:val="0"/>
        <w:jc w:val="center"/>
        <w:rPr>
          <w:b/>
          <w:sz w:val="20"/>
          <w:szCs w:val="20"/>
        </w:rPr>
      </w:pPr>
    </w:p>
    <w:p w:rsidR="008E39BB" w:rsidRDefault="008E39BB" w:rsidP="008E39BB">
      <w:pPr>
        <w:widowControl w:val="0"/>
        <w:jc w:val="center"/>
        <w:rPr>
          <w:b/>
          <w:sz w:val="20"/>
          <w:szCs w:val="20"/>
        </w:rPr>
      </w:pPr>
      <w:r w:rsidRPr="00D4313A">
        <w:rPr>
          <w:b/>
          <w:sz w:val="20"/>
          <w:szCs w:val="20"/>
        </w:rPr>
        <w:t xml:space="preserve">Intertemporal Variation in </w:t>
      </w:r>
      <w:r>
        <w:rPr>
          <w:b/>
          <w:sz w:val="20"/>
          <w:szCs w:val="20"/>
        </w:rPr>
        <w:t xml:space="preserve">Book </w:t>
      </w:r>
      <w:r w:rsidRPr="00D4313A">
        <w:rPr>
          <w:b/>
          <w:sz w:val="20"/>
          <w:szCs w:val="20"/>
        </w:rPr>
        <w:t>Leverage:</w:t>
      </w:r>
    </w:p>
    <w:p w:rsidR="008E39BB" w:rsidRPr="00D4313A" w:rsidRDefault="008E39BB" w:rsidP="008E39BB">
      <w:pPr>
        <w:widowControl w:val="0"/>
        <w:jc w:val="center"/>
        <w:rPr>
          <w:b/>
          <w:sz w:val="20"/>
          <w:szCs w:val="20"/>
        </w:rPr>
      </w:pPr>
      <w:r>
        <w:rPr>
          <w:b/>
          <w:sz w:val="20"/>
          <w:szCs w:val="20"/>
        </w:rPr>
        <w:t xml:space="preserve">Magnitude and Speed of Departure </w:t>
      </w:r>
      <w:r w:rsidRPr="00D4313A">
        <w:rPr>
          <w:b/>
          <w:sz w:val="20"/>
          <w:szCs w:val="20"/>
        </w:rPr>
        <w:t xml:space="preserve">from Original Leverage </w:t>
      </w:r>
    </w:p>
    <w:p w:rsidR="008E39BB" w:rsidRDefault="008E39BB" w:rsidP="008E39BB">
      <w:pPr>
        <w:widowControl w:val="0"/>
        <w:rPr>
          <w:sz w:val="20"/>
          <w:szCs w:val="20"/>
        </w:rPr>
      </w:pPr>
    </w:p>
    <w:p w:rsidR="008E39BB" w:rsidRDefault="008E39BB" w:rsidP="008E39BB">
      <w:pPr>
        <w:widowControl w:val="0"/>
        <w:rPr>
          <w:sz w:val="20"/>
          <w:szCs w:val="20"/>
        </w:rPr>
      </w:pPr>
      <w:r>
        <w:rPr>
          <w:sz w:val="20"/>
          <w:szCs w:val="20"/>
        </w:rPr>
        <w:t xml:space="preserve">Leverage is measured as the book value of total debt divided by the book value of total assets.  </w:t>
      </w:r>
      <w:r w:rsidRPr="00A722CF">
        <w:rPr>
          <w:sz w:val="20"/>
          <w:szCs w:val="20"/>
        </w:rPr>
        <w:t>The sample consists of 2,751 firms with 20 or more years of data</w:t>
      </w:r>
      <w:r w:rsidRPr="00917FAB">
        <w:rPr>
          <w:sz w:val="20"/>
          <w:szCs w:val="20"/>
        </w:rPr>
        <w:t>in th</w:t>
      </w:r>
      <w:r w:rsidR="008003B3">
        <w:rPr>
          <w:sz w:val="20"/>
          <w:szCs w:val="20"/>
        </w:rPr>
        <w:t xml:space="preserve">e CRSP/Compustat file over 1950 to </w:t>
      </w:r>
      <w:r w:rsidRPr="00917FAB">
        <w:rPr>
          <w:sz w:val="20"/>
          <w:szCs w:val="20"/>
        </w:rPr>
        <w:t>2008.</w:t>
      </w:r>
      <w:r>
        <w:rPr>
          <w:sz w:val="20"/>
          <w:szCs w:val="20"/>
        </w:rPr>
        <w:t xml:space="preserve">  The first column indexes event years relative to the date of the first leverage observation (at event year 0) for each firm in the sample.  The remaining four columns give the fraction of sample firms that, at some point up to the event date in question, has had a </w:t>
      </w:r>
      <w:r w:rsidRPr="00FE3938">
        <w:rPr>
          <w:i/>
          <w:sz w:val="20"/>
          <w:szCs w:val="20"/>
        </w:rPr>
        <w:t>Debt/TA</w:t>
      </w:r>
      <w:r>
        <w:rPr>
          <w:sz w:val="20"/>
          <w:szCs w:val="20"/>
        </w:rPr>
        <w:t xml:space="preserve"> ratio outside the specified interval.  For example, the first entry in the third row indicates that, as of three years after each firm’s initial leverage observation, 71.1% of sample firms have had a leverage ratio that is more than 0.050 above (or more than 0.050 below) the leverage ratio that the firm had in year 0.</w:t>
      </w:r>
    </w:p>
    <w:p w:rsidR="008E39BB" w:rsidRPr="00497803" w:rsidRDefault="008E39BB" w:rsidP="008E39BB">
      <w:pPr>
        <w:widowControl w:val="0"/>
        <w:rPr>
          <w:sz w:val="20"/>
          <w:szCs w:val="20"/>
        </w:rPr>
      </w:pPr>
    </w:p>
    <w:tbl>
      <w:tblPr>
        <w:tblStyle w:val="TableGrid"/>
        <w:tblW w:w="9576" w:type="dxa"/>
        <w:jc w:val="center"/>
        <w:tblBorders>
          <w:left w:val="none" w:sz="0" w:space="0" w:color="auto"/>
          <w:right w:val="none" w:sz="0" w:space="0" w:color="auto"/>
          <w:insideH w:val="none" w:sz="0" w:space="0" w:color="auto"/>
          <w:insideV w:val="none" w:sz="0" w:space="0" w:color="auto"/>
        </w:tblBorders>
        <w:tblLook w:val="04A0"/>
      </w:tblPr>
      <w:tblGrid>
        <w:gridCol w:w="700"/>
        <w:gridCol w:w="1794"/>
        <w:gridCol w:w="1795"/>
        <w:gridCol w:w="1795"/>
        <w:gridCol w:w="1796"/>
        <w:gridCol w:w="1696"/>
      </w:tblGrid>
      <w:tr w:rsidR="008E39BB" w:rsidRPr="00ED0226" w:rsidTr="00DE2A70">
        <w:trPr>
          <w:jc w:val="center"/>
        </w:trPr>
        <w:tc>
          <w:tcPr>
            <w:tcW w:w="700" w:type="dxa"/>
            <w:tcBorders>
              <w:top w:val="single" w:sz="4" w:space="0" w:color="auto"/>
              <w:bottom w:val="nil"/>
            </w:tcBorders>
            <w:vAlign w:val="bottom"/>
          </w:tcPr>
          <w:p w:rsidR="00877535" w:rsidRDefault="00877535" w:rsidP="00DE2A70">
            <w:pPr>
              <w:widowControl w:val="0"/>
              <w:jc w:val="left"/>
              <w:rPr>
                <w:rFonts w:ascii="Tahoma" w:hAnsi="Tahoma" w:cs="Times New Roman"/>
                <w:color w:val="000000"/>
                <w:sz w:val="20"/>
                <w:szCs w:val="20"/>
              </w:rPr>
            </w:pPr>
          </w:p>
        </w:tc>
        <w:tc>
          <w:tcPr>
            <w:tcW w:w="8876" w:type="dxa"/>
            <w:gridSpan w:val="5"/>
            <w:tcBorders>
              <w:top w:val="single" w:sz="4" w:space="0" w:color="auto"/>
              <w:bottom w:val="single" w:sz="4" w:space="0" w:color="auto"/>
            </w:tcBorders>
            <w:vAlign w:val="bottom"/>
          </w:tcPr>
          <w:p w:rsidR="008E39BB" w:rsidRDefault="008003B3" w:rsidP="008E39BB">
            <w:pPr>
              <w:widowControl w:val="0"/>
              <w:jc w:val="center"/>
              <w:rPr>
                <w:rFonts w:cs="Times New Roman"/>
                <w:bCs/>
                <w:color w:val="000000"/>
                <w:sz w:val="20"/>
                <w:szCs w:val="20"/>
              </w:rPr>
            </w:pPr>
            <w:r>
              <w:rPr>
                <w:sz w:val="20"/>
                <w:szCs w:val="20"/>
              </w:rPr>
              <w:t xml:space="preserve">% </w:t>
            </w:r>
            <w:r w:rsidR="008E39BB" w:rsidRPr="00ED0226">
              <w:rPr>
                <w:sz w:val="20"/>
                <w:szCs w:val="20"/>
              </w:rPr>
              <w:t xml:space="preserve">of firms for which </w:t>
            </w:r>
            <w:r w:rsidR="00D5618B" w:rsidRPr="00D5618B">
              <w:rPr>
                <w:i/>
                <w:sz w:val="20"/>
                <w:szCs w:val="20"/>
              </w:rPr>
              <w:t>Debt/TA</w:t>
            </w:r>
            <w:r w:rsidR="008E39BB">
              <w:rPr>
                <w:sz w:val="20"/>
                <w:szCs w:val="20"/>
              </w:rPr>
              <w:t>has differed from its original value by at least</w:t>
            </w:r>
            <w:r w:rsidR="008E39BB" w:rsidRPr="00ED0226">
              <w:rPr>
                <w:sz w:val="20"/>
                <w:szCs w:val="20"/>
              </w:rPr>
              <w:t>:</w:t>
            </w:r>
          </w:p>
        </w:tc>
      </w:tr>
      <w:tr w:rsidR="008E39BB" w:rsidRPr="00ED0226" w:rsidTr="00DE2A70">
        <w:trPr>
          <w:jc w:val="center"/>
        </w:trPr>
        <w:tc>
          <w:tcPr>
            <w:tcW w:w="700" w:type="dxa"/>
            <w:tcBorders>
              <w:top w:val="nil"/>
              <w:bottom w:val="single" w:sz="4" w:space="0" w:color="000000" w:themeColor="text1"/>
            </w:tcBorders>
            <w:vAlign w:val="bottom"/>
          </w:tcPr>
          <w:p w:rsidR="00877535" w:rsidRDefault="008E39BB" w:rsidP="00DE2A70">
            <w:pPr>
              <w:widowControl w:val="0"/>
              <w:jc w:val="left"/>
              <w:rPr>
                <w:rFonts w:cs="Times New Roman"/>
                <w:color w:val="000000"/>
                <w:sz w:val="20"/>
                <w:szCs w:val="20"/>
              </w:rPr>
            </w:pPr>
            <w:r w:rsidRPr="00ED0226">
              <w:rPr>
                <w:rFonts w:cs="Times New Roman"/>
                <w:color w:val="000000"/>
                <w:sz w:val="20"/>
                <w:szCs w:val="20"/>
              </w:rPr>
              <w:t>Year</w:t>
            </w:r>
          </w:p>
        </w:tc>
        <w:tc>
          <w:tcPr>
            <w:tcW w:w="1794" w:type="dxa"/>
            <w:tcBorders>
              <w:top w:val="single" w:sz="4" w:space="0" w:color="auto"/>
              <w:bottom w:val="single" w:sz="4" w:space="0" w:color="000000" w:themeColor="text1"/>
            </w:tcBorders>
            <w:vAlign w:val="bottom"/>
          </w:tcPr>
          <w:p w:rsidR="008E39BB" w:rsidRPr="00ED0226" w:rsidRDefault="008E39BB" w:rsidP="008E39BB">
            <w:pPr>
              <w:widowControl w:val="0"/>
              <w:jc w:val="left"/>
              <w:rPr>
                <w:rFonts w:cs="Times New Roman"/>
                <w:bCs/>
                <w:color w:val="000000"/>
                <w:sz w:val="20"/>
                <w:szCs w:val="20"/>
              </w:rPr>
            </w:pPr>
            <w:r w:rsidRPr="00ED0226">
              <w:rPr>
                <w:rFonts w:cs="Times New Roman"/>
                <w:bCs/>
                <w:color w:val="000000"/>
                <w:sz w:val="20"/>
                <w:szCs w:val="20"/>
              </w:rPr>
              <w:t>+/- 0.050</w:t>
            </w:r>
          </w:p>
        </w:tc>
        <w:tc>
          <w:tcPr>
            <w:tcW w:w="1795" w:type="dxa"/>
            <w:tcBorders>
              <w:top w:val="single" w:sz="4" w:space="0" w:color="auto"/>
              <w:bottom w:val="single" w:sz="4" w:space="0" w:color="000000" w:themeColor="text1"/>
            </w:tcBorders>
            <w:vAlign w:val="bottom"/>
          </w:tcPr>
          <w:p w:rsidR="008E39BB" w:rsidRPr="00ED0226" w:rsidRDefault="008E39BB" w:rsidP="008E39BB">
            <w:pPr>
              <w:widowControl w:val="0"/>
              <w:jc w:val="left"/>
              <w:rPr>
                <w:rFonts w:cs="Times New Roman"/>
                <w:bCs/>
                <w:color w:val="000000"/>
                <w:sz w:val="20"/>
                <w:szCs w:val="20"/>
              </w:rPr>
            </w:pPr>
            <w:r w:rsidRPr="00ED0226">
              <w:rPr>
                <w:rFonts w:cs="Times New Roman"/>
                <w:bCs/>
                <w:color w:val="000000"/>
                <w:sz w:val="20"/>
                <w:szCs w:val="20"/>
              </w:rPr>
              <w:t>+/- 0.100</w:t>
            </w:r>
          </w:p>
        </w:tc>
        <w:tc>
          <w:tcPr>
            <w:tcW w:w="1795" w:type="dxa"/>
            <w:tcBorders>
              <w:top w:val="single" w:sz="4" w:space="0" w:color="auto"/>
              <w:bottom w:val="single" w:sz="4" w:space="0" w:color="000000" w:themeColor="text1"/>
            </w:tcBorders>
            <w:vAlign w:val="bottom"/>
          </w:tcPr>
          <w:p w:rsidR="008E39BB" w:rsidRPr="00ED0226" w:rsidRDefault="008E39BB" w:rsidP="008E39BB">
            <w:pPr>
              <w:widowControl w:val="0"/>
              <w:jc w:val="left"/>
              <w:rPr>
                <w:rFonts w:cs="Times New Roman"/>
                <w:bCs/>
                <w:color w:val="000000"/>
                <w:sz w:val="20"/>
                <w:szCs w:val="20"/>
              </w:rPr>
            </w:pPr>
            <w:r w:rsidRPr="00ED0226">
              <w:rPr>
                <w:rFonts w:cs="Times New Roman"/>
                <w:bCs/>
                <w:color w:val="000000"/>
                <w:sz w:val="20"/>
                <w:szCs w:val="20"/>
              </w:rPr>
              <w:t>+/- 0.200</w:t>
            </w:r>
          </w:p>
        </w:tc>
        <w:tc>
          <w:tcPr>
            <w:tcW w:w="1796" w:type="dxa"/>
            <w:tcBorders>
              <w:top w:val="single" w:sz="4" w:space="0" w:color="auto"/>
              <w:bottom w:val="single" w:sz="4" w:space="0" w:color="000000" w:themeColor="text1"/>
            </w:tcBorders>
            <w:vAlign w:val="bottom"/>
          </w:tcPr>
          <w:p w:rsidR="008E39BB" w:rsidRPr="00ED0226" w:rsidRDefault="008E39BB" w:rsidP="008E39BB">
            <w:pPr>
              <w:widowControl w:val="0"/>
              <w:jc w:val="left"/>
              <w:rPr>
                <w:rFonts w:cs="Times New Roman"/>
                <w:bCs/>
                <w:color w:val="000000"/>
                <w:sz w:val="20"/>
                <w:szCs w:val="20"/>
              </w:rPr>
            </w:pPr>
            <w:r w:rsidRPr="00ED0226">
              <w:rPr>
                <w:rFonts w:cs="Times New Roman"/>
                <w:bCs/>
                <w:color w:val="000000"/>
                <w:sz w:val="20"/>
                <w:szCs w:val="20"/>
              </w:rPr>
              <w:t>+/- 0.300</w:t>
            </w:r>
          </w:p>
        </w:tc>
        <w:tc>
          <w:tcPr>
            <w:tcW w:w="1696" w:type="dxa"/>
            <w:tcBorders>
              <w:top w:val="single" w:sz="4" w:space="0" w:color="auto"/>
              <w:bottom w:val="single" w:sz="4" w:space="0" w:color="000000" w:themeColor="text1"/>
            </w:tcBorders>
          </w:tcPr>
          <w:p w:rsidR="008E39BB" w:rsidRDefault="008E39BB" w:rsidP="008E39BB">
            <w:pPr>
              <w:widowControl w:val="0"/>
              <w:jc w:val="left"/>
              <w:rPr>
                <w:rFonts w:cs="Times New Roman"/>
                <w:bCs/>
                <w:color w:val="000000"/>
                <w:sz w:val="20"/>
                <w:szCs w:val="20"/>
              </w:rPr>
            </w:pPr>
            <w:r>
              <w:rPr>
                <w:rFonts w:cs="Times New Roman"/>
                <w:bCs/>
                <w:color w:val="000000"/>
                <w:sz w:val="20"/>
                <w:szCs w:val="20"/>
              </w:rPr>
              <w:t xml:space="preserve">     +/- 0.400</w:t>
            </w:r>
          </w:p>
        </w:tc>
      </w:tr>
      <w:tr w:rsidR="008E39BB" w:rsidRPr="00497803" w:rsidTr="008E39BB">
        <w:trPr>
          <w:jc w:val="center"/>
        </w:trPr>
        <w:tc>
          <w:tcPr>
            <w:tcW w:w="700" w:type="dxa"/>
            <w:tcBorders>
              <w:top w:val="single" w:sz="4" w:space="0" w:color="000000" w:themeColor="text1"/>
            </w:tcBorders>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1</w:t>
            </w:r>
          </w:p>
        </w:tc>
        <w:tc>
          <w:tcPr>
            <w:tcW w:w="1794" w:type="dxa"/>
            <w:tcBorders>
              <w:top w:val="single" w:sz="4" w:space="0" w:color="000000" w:themeColor="text1"/>
            </w:tcBorders>
            <w:vAlign w:val="bottom"/>
          </w:tcPr>
          <w:p w:rsidR="008E39BB" w:rsidRDefault="008E39BB" w:rsidP="008E39BB">
            <w:pPr>
              <w:jc w:val="center"/>
              <w:rPr>
                <w:color w:val="000000"/>
                <w:sz w:val="20"/>
                <w:szCs w:val="20"/>
              </w:rPr>
            </w:pPr>
            <w:r>
              <w:rPr>
                <w:color w:val="000000"/>
                <w:sz w:val="20"/>
                <w:szCs w:val="20"/>
              </w:rPr>
              <w:t>41.1%</w:t>
            </w:r>
          </w:p>
        </w:tc>
        <w:tc>
          <w:tcPr>
            <w:tcW w:w="1795" w:type="dxa"/>
            <w:tcBorders>
              <w:top w:val="single" w:sz="4" w:space="0" w:color="000000" w:themeColor="text1"/>
            </w:tcBorders>
            <w:vAlign w:val="bottom"/>
          </w:tcPr>
          <w:p w:rsidR="008E39BB" w:rsidRDefault="008E39BB" w:rsidP="008E39BB">
            <w:pPr>
              <w:jc w:val="center"/>
              <w:rPr>
                <w:color w:val="000000"/>
                <w:sz w:val="20"/>
                <w:szCs w:val="20"/>
              </w:rPr>
            </w:pPr>
            <w:r>
              <w:rPr>
                <w:color w:val="000000"/>
                <w:sz w:val="20"/>
                <w:szCs w:val="20"/>
              </w:rPr>
              <w:t>21.7%</w:t>
            </w:r>
          </w:p>
        </w:tc>
        <w:tc>
          <w:tcPr>
            <w:tcW w:w="1795" w:type="dxa"/>
            <w:tcBorders>
              <w:top w:val="single" w:sz="4" w:space="0" w:color="000000" w:themeColor="text1"/>
            </w:tcBorders>
            <w:vAlign w:val="bottom"/>
          </w:tcPr>
          <w:p w:rsidR="008E39BB" w:rsidRDefault="008E39BB" w:rsidP="008E39BB">
            <w:pPr>
              <w:jc w:val="center"/>
              <w:rPr>
                <w:color w:val="000000"/>
                <w:sz w:val="20"/>
                <w:szCs w:val="20"/>
              </w:rPr>
            </w:pPr>
            <w:r>
              <w:rPr>
                <w:color w:val="000000"/>
                <w:sz w:val="20"/>
                <w:szCs w:val="20"/>
              </w:rPr>
              <w:t>7.0%</w:t>
            </w:r>
          </w:p>
        </w:tc>
        <w:tc>
          <w:tcPr>
            <w:tcW w:w="1796" w:type="dxa"/>
            <w:tcBorders>
              <w:top w:val="single" w:sz="4" w:space="0" w:color="000000" w:themeColor="text1"/>
            </w:tcBorders>
            <w:vAlign w:val="bottom"/>
          </w:tcPr>
          <w:p w:rsidR="008E39BB" w:rsidRDefault="008E39BB" w:rsidP="008E39BB">
            <w:pPr>
              <w:jc w:val="center"/>
              <w:rPr>
                <w:color w:val="000000"/>
                <w:sz w:val="20"/>
                <w:szCs w:val="20"/>
              </w:rPr>
            </w:pPr>
            <w:r>
              <w:rPr>
                <w:color w:val="000000"/>
                <w:sz w:val="20"/>
                <w:szCs w:val="20"/>
              </w:rPr>
              <w:t>2.6%</w:t>
            </w:r>
          </w:p>
        </w:tc>
        <w:tc>
          <w:tcPr>
            <w:tcW w:w="1696" w:type="dxa"/>
            <w:tcBorders>
              <w:top w:val="single" w:sz="4" w:space="0" w:color="000000" w:themeColor="text1"/>
            </w:tcBorders>
            <w:vAlign w:val="bottom"/>
          </w:tcPr>
          <w:p w:rsidR="008E39BB" w:rsidRDefault="008E39BB" w:rsidP="008E39BB">
            <w:pPr>
              <w:jc w:val="center"/>
              <w:rPr>
                <w:color w:val="000000"/>
                <w:sz w:val="20"/>
                <w:szCs w:val="20"/>
              </w:rPr>
            </w:pPr>
            <w:r>
              <w:rPr>
                <w:color w:val="000000"/>
                <w:sz w:val="20"/>
                <w:szCs w:val="20"/>
              </w:rPr>
              <w:t>1.0%</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2</w:t>
            </w:r>
          </w:p>
        </w:tc>
        <w:tc>
          <w:tcPr>
            <w:tcW w:w="1794" w:type="dxa"/>
            <w:vAlign w:val="bottom"/>
          </w:tcPr>
          <w:p w:rsidR="008E39BB" w:rsidRDefault="008E39BB" w:rsidP="008E39BB">
            <w:pPr>
              <w:jc w:val="center"/>
              <w:rPr>
                <w:color w:val="000000"/>
                <w:sz w:val="20"/>
                <w:szCs w:val="20"/>
              </w:rPr>
            </w:pPr>
            <w:r>
              <w:rPr>
                <w:color w:val="000000"/>
                <w:sz w:val="20"/>
                <w:szCs w:val="20"/>
              </w:rPr>
              <w:t>61.3%</w:t>
            </w:r>
          </w:p>
        </w:tc>
        <w:tc>
          <w:tcPr>
            <w:tcW w:w="1795" w:type="dxa"/>
            <w:vAlign w:val="bottom"/>
          </w:tcPr>
          <w:p w:rsidR="008E39BB" w:rsidRPr="005A2296" w:rsidRDefault="008E39BB" w:rsidP="008E39BB">
            <w:pPr>
              <w:jc w:val="center"/>
              <w:rPr>
                <w:rFonts w:cs="Times New Roman"/>
                <w:color w:val="000000"/>
                <w:sz w:val="20"/>
                <w:szCs w:val="20"/>
              </w:rPr>
            </w:pPr>
            <w:r w:rsidRPr="005A2296">
              <w:rPr>
                <w:rFonts w:cs="Times New Roman"/>
                <w:color w:val="000000"/>
                <w:sz w:val="20"/>
                <w:szCs w:val="20"/>
              </w:rPr>
              <w:t>37.0%</w:t>
            </w:r>
          </w:p>
        </w:tc>
        <w:tc>
          <w:tcPr>
            <w:tcW w:w="1795" w:type="dxa"/>
            <w:vAlign w:val="bottom"/>
          </w:tcPr>
          <w:p w:rsidR="008E39BB" w:rsidRDefault="008E39BB" w:rsidP="008E39BB">
            <w:pPr>
              <w:jc w:val="center"/>
              <w:rPr>
                <w:color w:val="000000"/>
                <w:sz w:val="20"/>
                <w:szCs w:val="20"/>
              </w:rPr>
            </w:pPr>
            <w:r>
              <w:rPr>
                <w:color w:val="000000"/>
                <w:sz w:val="20"/>
                <w:szCs w:val="20"/>
              </w:rPr>
              <w:t>14.7%</w:t>
            </w:r>
          </w:p>
        </w:tc>
        <w:tc>
          <w:tcPr>
            <w:tcW w:w="1796" w:type="dxa"/>
            <w:vAlign w:val="bottom"/>
          </w:tcPr>
          <w:p w:rsidR="008E39BB" w:rsidRDefault="008E39BB" w:rsidP="008E39BB">
            <w:pPr>
              <w:jc w:val="center"/>
              <w:rPr>
                <w:color w:val="000000"/>
                <w:sz w:val="20"/>
                <w:szCs w:val="20"/>
              </w:rPr>
            </w:pPr>
            <w:r>
              <w:rPr>
                <w:color w:val="000000"/>
                <w:sz w:val="20"/>
                <w:szCs w:val="20"/>
              </w:rPr>
              <w:t>6.0%</w:t>
            </w:r>
          </w:p>
        </w:tc>
        <w:tc>
          <w:tcPr>
            <w:tcW w:w="1696" w:type="dxa"/>
            <w:vAlign w:val="bottom"/>
          </w:tcPr>
          <w:p w:rsidR="008E39BB" w:rsidRDefault="008E39BB" w:rsidP="008E39BB">
            <w:pPr>
              <w:jc w:val="center"/>
              <w:rPr>
                <w:color w:val="000000"/>
                <w:sz w:val="20"/>
                <w:szCs w:val="20"/>
              </w:rPr>
            </w:pPr>
            <w:r>
              <w:rPr>
                <w:color w:val="000000"/>
                <w:sz w:val="20"/>
                <w:szCs w:val="20"/>
              </w:rPr>
              <w:t>2.7%</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3</w:t>
            </w:r>
          </w:p>
        </w:tc>
        <w:tc>
          <w:tcPr>
            <w:tcW w:w="1794" w:type="dxa"/>
            <w:vAlign w:val="bottom"/>
          </w:tcPr>
          <w:p w:rsidR="008E39BB" w:rsidRDefault="008E39BB" w:rsidP="008E39BB">
            <w:pPr>
              <w:jc w:val="center"/>
              <w:rPr>
                <w:color w:val="000000"/>
                <w:sz w:val="20"/>
                <w:szCs w:val="20"/>
              </w:rPr>
            </w:pPr>
            <w:r>
              <w:rPr>
                <w:color w:val="000000"/>
                <w:sz w:val="20"/>
                <w:szCs w:val="20"/>
              </w:rPr>
              <w:t>71.1%</w:t>
            </w:r>
          </w:p>
        </w:tc>
        <w:tc>
          <w:tcPr>
            <w:tcW w:w="1795" w:type="dxa"/>
            <w:vAlign w:val="bottom"/>
          </w:tcPr>
          <w:p w:rsidR="008E39BB" w:rsidRPr="005A2296" w:rsidRDefault="008E39BB" w:rsidP="008E39BB">
            <w:pPr>
              <w:jc w:val="center"/>
              <w:rPr>
                <w:rFonts w:cs="Times New Roman"/>
                <w:color w:val="000000"/>
                <w:sz w:val="20"/>
                <w:szCs w:val="20"/>
              </w:rPr>
            </w:pPr>
            <w:r w:rsidRPr="005A2296">
              <w:rPr>
                <w:rFonts w:cs="Times New Roman"/>
                <w:color w:val="000000"/>
                <w:sz w:val="20"/>
                <w:szCs w:val="20"/>
              </w:rPr>
              <w:t>47.4%</w:t>
            </w:r>
          </w:p>
        </w:tc>
        <w:tc>
          <w:tcPr>
            <w:tcW w:w="1795" w:type="dxa"/>
            <w:vAlign w:val="bottom"/>
          </w:tcPr>
          <w:p w:rsidR="008E39BB" w:rsidRDefault="008E39BB" w:rsidP="008E39BB">
            <w:pPr>
              <w:jc w:val="center"/>
              <w:rPr>
                <w:color w:val="000000"/>
                <w:sz w:val="20"/>
                <w:szCs w:val="20"/>
              </w:rPr>
            </w:pPr>
            <w:r>
              <w:rPr>
                <w:color w:val="000000"/>
                <w:sz w:val="20"/>
                <w:szCs w:val="20"/>
              </w:rPr>
              <w:t>20.8%</w:t>
            </w:r>
          </w:p>
        </w:tc>
        <w:tc>
          <w:tcPr>
            <w:tcW w:w="1796" w:type="dxa"/>
            <w:vAlign w:val="bottom"/>
          </w:tcPr>
          <w:p w:rsidR="008E39BB" w:rsidRDefault="008E39BB" w:rsidP="008E39BB">
            <w:pPr>
              <w:jc w:val="center"/>
              <w:rPr>
                <w:color w:val="000000"/>
                <w:sz w:val="20"/>
                <w:szCs w:val="20"/>
              </w:rPr>
            </w:pPr>
            <w:r>
              <w:rPr>
                <w:color w:val="000000"/>
                <w:sz w:val="20"/>
                <w:szCs w:val="20"/>
              </w:rPr>
              <w:t>9.2%</w:t>
            </w:r>
          </w:p>
        </w:tc>
        <w:tc>
          <w:tcPr>
            <w:tcW w:w="1696" w:type="dxa"/>
            <w:vAlign w:val="bottom"/>
          </w:tcPr>
          <w:p w:rsidR="008E39BB" w:rsidRDefault="008E39BB" w:rsidP="008E39BB">
            <w:pPr>
              <w:jc w:val="center"/>
              <w:rPr>
                <w:color w:val="000000"/>
                <w:sz w:val="20"/>
                <w:szCs w:val="20"/>
              </w:rPr>
            </w:pPr>
            <w:r>
              <w:rPr>
                <w:color w:val="000000"/>
                <w:sz w:val="20"/>
                <w:szCs w:val="20"/>
              </w:rPr>
              <w:t>3.9%</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4</w:t>
            </w:r>
          </w:p>
        </w:tc>
        <w:tc>
          <w:tcPr>
            <w:tcW w:w="1794" w:type="dxa"/>
            <w:vAlign w:val="bottom"/>
          </w:tcPr>
          <w:p w:rsidR="008E39BB" w:rsidRDefault="008E39BB" w:rsidP="008E39BB">
            <w:pPr>
              <w:jc w:val="center"/>
              <w:rPr>
                <w:color w:val="000000"/>
                <w:sz w:val="20"/>
                <w:szCs w:val="20"/>
              </w:rPr>
            </w:pPr>
            <w:r>
              <w:rPr>
                <w:color w:val="000000"/>
                <w:sz w:val="20"/>
                <w:szCs w:val="20"/>
              </w:rPr>
              <w:t>77.2%</w:t>
            </w:r>
          </w:p>
        </w:tc>
        <w:tc>
          <w:tcPr>
            <w:tcW w:w="1795" w:type="dxa"/>
            <w:vAlign w:val="bottom"/>
          </w:tcPr>
          <w:p w:rsidR="008E39BB" w:rsidRPr="005A2296" w:rsidRDefault="008E39BB" w:rsidP="008E39BB">
            <w:pPr>
              <w:jc w:val="center"/>
              <w:rPr>
                <w:rFonts w:cs="Times New Roman"/>
                <w:color w:val="000000"/>
                <w:sz w:val="20"/>
                <w:szCs w:val="20"/>
              </w:rPr>
            </w:pPr>
            <w:r w:rsidRPr="005A2296">
              <w:rPr>
                <w:rFonts w:cs="Times New Roman"/>
                <w:color w:val="000000"/>
                <w:sz w:val="20"/>
                <w:szCs w:val="20"/>
              </w:rPr>
              <w:t>54.8%</w:t>
            </w:r>
          </w:p>
        </w:tc>
        <w:tc>
          <w:tcPr>
            <w:tcW w:w="1795" w:type="dxa"/>
            <w:vAlign w:val="bottom"/>
          </w:tcPr>
          <w:p w:rsidR="008E39BB" w:rsidRDefault="008E39BB" w:rsidP="008E39BB">
            <w:pPr>
              <w:jc w:val="center"/>
              <w:rPr>
                <w:color w:val="000000"/>
                <w:sz w:val="20"/>
                <w:szCs w:val="20"/>
              </w:rPr>
            </w:pPr>
            <w:r>
              <w:rPr>
                <w:color w:val="000000"/>
                <w:sz w:val="20"/>
                <w:szCs w:val="20"/>
              </w:rPr>
              <w:t>25.3%</w:t>
            </w:r>
          </w:p>
        </w:tc>
        <w:tc>
          <w:tcPr>
            <w:tcW w:w="1796" w:type="dxa"/>
            <w:vAlign w:val="bottom"/>
          </w:tcPr>
          <w:p w:rsidR="008E39BB" w:rsidRDefault="008E39BB" w:rsidP="008E39BB">
            <w:pPr>
              <w:jc w:val="center"/>
              <w:rPr>
                <w:color w:val="000000"/>
                <w:sz w:val="20"/>
                <w:szCs w:val="20"/>
              </w:rPr>
            </w:pPr>
            <w:r>
              <w:rPr>
                <w:color w:val="000000"/>
                <w:sz w:val="20"/>
                <w:szCs w:val="20"/>
              </w:rPr>
              <w:t>11.5%</w:t>
            </w:r>
          </w:p>
        </w:tc>
        <w:tc>
          <w:tcPr>
            <w:tcW w:w="1696" w:type="dxa"/>
            <w:vAlign w:val="bottom"/>
          </w:tcPr>
          <w:p w:rsidR="008E39BB" w:rsidRDefault="008E39BB" w:rsidP="008E39BB">
            <w:pPr>
              <w:jc w:val="center"/>
              <w:rPr>
                <w:color w:val="000000"/>
                <w:sz w:val="20"/>
                <w:szCs w:val="20"/>
              </w:rPr>
            </w:pPr>
            <w:r>
              <w:rPr>
                <w:color w:val="000000"/>
                <w:sz w:val="20"/>
                <w:szCs w:val="20"/>
              </w:rPr>
              <w:t>5.2%</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5</w:t>
            </w:r>
          </w:p>
        </w:tc>
        <w:tc>
          <w:tcPr>
            <w:tcW w:w="1794" w:type="dxa"/>
            <w:vAlign w:val="bottom"/>
          </w:tcPr>
          <w:p w:rsidR="008E39BB" w:rsidRDefault="008E39BB" w:rsidP="008E39BB">
            <w:pPr>
              <w:jc w:val="center"/>
              <w:rPr>
                <w:color w:val="000000"/>
                <w:sz w:val="20"/>
                <w:szCs w:val="20"/>
              </w:rPr>
            </w:pPr>
            <w:r>
              <w:rPr>
                <w:color w:val="000000"/>
                <w:sz w:val="20"/>
                <w:szCs w:val="20"/>
              </w:rPr>
              <w:t>81.5%</w:t>
            </w:r>
          </w:p>
        </w:tc>
        <w:tc>
          <w:tcPr>
            <w:tcW w:w="1795" w:type="dxa"/>
            <w:vAlign w:val="bottom"/>
          </w:tcPr>
          <w:p w:rsidR="008E39BB" w:rsidRPr="005A2296" w:rsidRDefault="008E39BB" w:rsidP="008E39BB">
            <w:pPr>
              <w:jc w:val="center"/>
              <w:rPr>
                <w:rFonts w:cs="Times New Roman"/>
                <w:color w:val="000000"/>
                <w:sz w:val="20"/>
                <w:szCs w:val="20"/>
              </w:rPr>
            </w:pPr>
            <w:r w:rsidRPr="005A2296">
              <w:rPr>
                <w:rFonts w:cs="Times New Roman"/>
                <w:color w:val="000000"/>
                <w:sz w:val="20"/>
                <w:szCs w:val="20"/>
              </w:rPr>
              <w:t>61.1%</w:t>
            </w:r>
          </w:p>
        </w:tc>
        <w:tc>
          <w:tcPr>
            <w:tcW w:w="1795" w:type="dxa"/>
            <w:vAlign w:val="bottom"/>
          </w:tcPr>
          <w:p w:rsidR="008E39BB" w:rsidRDefault="008E39BB" w:rsidP="008E39BB">
            <w:pPr>
              <w:jc w:val="center"/>
              <w:rPr>
                <w:color w:val="000000"/>
                <w:sz w:val="20"/>
                <w:szCs w:val="20"/>
              </w:rPr>
            </w:pPr>
            <w:r>
              <w:rPr>
                <w:color w:val="000000"/>
                <w:sz w:val="20"/>
                <w:szCs w:val="20"/>
              </w:rPr>
              <w:t>29.7%</w:t>
            </w:r>
          </w:p>
        </w:tc>
        <w:tc>
          <w:tcPr>
            <w:tcW w:w="1796" w:type="dxa"/>
            <w:vAlign w:val="bottom"/>
          </w:tcPr>
          <w:p w:rsidR="008E39BB" w:rsidRDefault="008E39BB" w:rsidP="008E39BB">
            <w:pPr>
              <w:jc w:val="center"/>
              <w:rPr>
                <w:color w:val="000000"/>
                <w:sz w:val="20"/>
                <w:szCs w:val="20"/>
              </w:rPr>
            </w:pPr>
            <w:r>
              <w:rPr>
                <w:color w:val="000000"/>
                <w:sz w:val="20"/>
                <w:szCs w:val="20"/>
              </w:rPr>
              <w:t>13.8%</w:t>
            </w:r>
          </w:p>
        </w:tc>
        <w:tc>
          <w:tcPr>
            <w:tcW w:w="1696" w:type="dxa"/>
            <w:vAlign w:val="bottom"/>
          </w:tcPr>
          <w:p w:rsidR="008E39BB" w:rsidRDefault="008E39BB" w:rsidP="008E39BB">
            <w:pPr>
              <w:jc w:val="center"/>
              <w:rPr>
                <w:color w:val="000000"/>
                <w:sz w:val="20"/>
                <w:szCs w:val="20"/>
              </w:rPr>
            </w:pPr>
            <w:r>
              <w:rPr>
                <w:color w:val="000000"/>
                <w:sz w:val="20"/>
                <w:szCs w:val="20"/>
              </w:rPr>
              <w:t>6.6%</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6</w:t>
            </w:r>
          </w:p>
        </w:tc>
        <w:tc>
          <w:tcPr>
            <w:tcW w:w="1794" w:type="dxa"/>
            <w:vAlign w:val="bottom"/>
          </w:tcPr>
          <w:p w:rsidR="008E39BB" w:rsidRDefault="008E39BB" w:rsidP="008E39BB">
            <w:pPr>
              <w:jc w:val="center"/>
              <w:rPr>
                <w:color w:val="000000"/>
                <w:sz w:val="20"/>
                <w:szCs w:val="20"/>
              </w:rPr>
            </w:pPr>
            <w:r>
              <w:rPr>
                <w:color w:val="000000"/>
                <w:sz w:val="20"/>
                <w:szCs w:val="20"/>
              </w:rPr>
              <w:t>85.1%</w:t>
            </w:r>
          </w:p>
        </w:tc>
        <w:tc>
          <w:tcPr>
            <w:tcW w:w="1795" w:type="dxa"/>
            <w:vAlign w:val="bottom"/>
          </w:tcPr>
          <w:p w:rsidR="008E39BB" w:rsidRPr="005A2296" w:rsidRDefault="008E39BB" w:rsidP="008E39BB">
            <w:pPr>
              <w:jc w:val="center"/>
              <w:rPr>
                <w:rFonts w:cs="Times New Roman"/>
                <w:color w:val="000000"/>
                <w:sz w:val="20"/>
                <w:szCs w:val="20"/>
              </w:rPr>
            </w:pPr>
            <w:r w:rsidRPr="005A2296">
              <w:rPr>
                <w:rFonts w:cs="Times New Roman"/>
                <w:color w:val="000000"/>
                <w:sz w:val="20"/>
                <w:szCs w:val="20"/>
              </w:rPr>
              <w:t>66.5%</w:t>
            </w:r>
          </w:p>
        </w:tc>
        <w:tc>
          <w:tcPr>
            <w:tcW w:w="1795" w:type="dxa"/>
            <w:vAlign w:val="bottom"/>
          </w:tcPr>
          <w:p w:rsidR="008E39BB" w:rsidRDefault="008E39BB" w:rsidP="008E39BB">
            <w:pPr>
              <w:jc w:val="center"/>
              <w:rPr>
                <w:color w:val="000000"/>
                <w:sz w:val="20"/>
                <w:szCs w:val="20"/>
              </w:rPr>
            </w:pPr>
            <w:r>
              <w:rPr>
                <w:color w:val="000000"/>
                <w:sz w:val="20"/>
                <w:szCs w:val="20"/>
              </w:rPr>
              <w:t>33.8%</w:t>
            </w:r>
          </w:p>
        </w:tc>
        <w:tc>
          <w:tcPr>
            <w:tcW w:w="1796" w:type="dxa"/>
            <w:vAlign w:val="bottom"/>
          </w:tcPr>
          <w:p w:rsidR="008E39BB" w:rsidRDefault="008E39BB" w:rsidP="008E39BB">
            <w:pPr>
              <w:jc w:val="center"/>
              <w:rPr>
                <w:color w:val="000000"/>
                <w:sz w:val="20"/>
                <w:szCs w:val="20"/>
              </w:rPr>
            </w:pPr>
            <w:r>
              <w:rPr>
                <w:color w:val="000000"/>
                <w:sz w:val="20"/>
                <w:szCs w:val="20"/>
              </w:rPr>
              <w:t>16.3%</w:t>
            </w:r>
          </w:p>
        </w:tc>
        <w:tc>
          <w:tcPr>
            <w:tcW w:w="1696" w:type="dxa"/>
            <w:vAlign w:val="bottom"/>
          </w:tcPr>
          <w:p w:rsidR="008E39BB" w:rsidRDefault="008E39BB" w:rsidP="008E39BB">
            <w:pPr>
              <w:jc w:val="center"/>
              <w:rPr>
                <w:color w:val="000000"/>
                <w:sz w:val="20"/>
                <w:szCs w:val="20"/>
              </w:rPr>
            </w:pPr>
            <w:r>
              <w:rPr>
                <w:color w:val="000000"/>
                <w:sz w:val="20"/>
                <w:szCs w:val="20"/>
              </w:rPr>
              <w:t>7.9%</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7</w:t>
            </w:r>
          </w:p>
        </w:tc>
        <w:tc>
          <w:tcPr>
            <w:tcW w:w="1794" w:type="dxa"/>
            <w:vAlign w:val="bottom"/>
          </w:tcPr>
          <w:p w:rsidR="008E39BB" w:rsidRDefault="008E39BB" w:rsidP="008E39BB">
            <w:pPr>
              <w:jc w:val="center"/>
              <w:rPr>
                <w:color w:val="000000"/>
                <w:sz w:val="20"/>
                <w:szCs w:val="20"/>
              </w:rPr>
            </w:pPr>
            <w:r>
              <w:rPr>
                <w:color w:val="000000"/>
                <w:sz w:val="20"/>
                <w:szCs w:val="20"/>
              </w:rPr>
              <w:t>87.6%</w:t>
            </w:r>
          </w:p>
        </w:tc>
        <w:tc>
          <w:tcPr>
            <w:tcW w:w="1795" w:type="dxa"/>
            <w:vAlign w:val="bottom"/>
          </w:tcPr>
          <w:p w:rsidR="008E39BB" w:rsidRDefault="008E39BB" w:rsidP="008E39BB">
            <w:pPr>
              <w:jc w:val="center"/>
              <w:rPr>
                <w:color w:val="000000"/>
                <w:sz w:val="20"/>
                <w:szCs w:val="20"/>
              </w:rPr>
            </w:pPr>
            <w:r>
              <w:rPr>
                <w:color w:val="000000"/>
                <w:sz w:val="20"/>
                <w:szCs w:val="20"/>
              </w:rPr>
              <w:t>70.9%</w:t>
            </w:r>
          </w:p>
        </w:tc>
        <w:tc>
          <w:tcPr>
            <w:tcW w:w="1795" w:type="dxa"/>
            <w:vAlign w:val="bottom"/>
          </w:tcPr>
          <w:p w:rsidR="008E39BB" w:rsidRDefault="008E39BB" w:rsidP="008E39BB">
            <w:pPr>
              <w:jc w:val="center"/>
              <w:rPr>
                <w:color w:val="000000"/>
                <w:sz w:val="20"/>
                <w:szCs w:val="20"/>
              </w:rPr>
            </w:pPr>
            <w:r>
              <w:rPr>
                <w:color w:val="000000"/>
                <w:sz w:val="20"/>
                <w:szCs w:val="20"/>
              </w:rPr>
              <w:t>38.2%</w:t>
            </w:r>
          </w:p>
        </w:tc>
        <w:tc>
          <w:tcPr>
            <w:tcW w:w="1796" w:type="dxa"/>
            <w:vAlign w:val="bottom"/>
          </w:tcPr>
          <w:p w:rsidR="008E39BB" w:rsidRDefault="008E39BB" w:rsidP="008E39BB">
            <w:pPr>
              <w:jc w:val="center"/>
              <w:rPr>
                <w:color w:val="000000"/>
                <w:sz w:val="20"/>
                <w:szCs w:val="20"/>
              </w:rPr>
            </w:pPr>
            <w:r>
              <w:rPr>
                <w:color w:val="000000"/>
                <w:sz w:val="20"/>
                <w:szCs w:val="20"/>
              </w:rPr>
              <w:t>18.6%</w:t>
            </w:r>
          </w:p>
        </w:tc>
        <w:tc>
          <w:tcPr>
            <w:tcW w:w="1696" w:type="dxa"/>
            <w:vAlign w:val="bottom"/>
          </w:tcPr>
          <w:p w:rsidR="008E39BB" w:rsidRDefault="008E39BB" w:rsidP="008E39BB">
            <w:pPr>
              <w:jc w:val="center"/>
              <w:rPr>
                <w:color w:val="000000"/>
                <w:sz w:val="20"/>
                <w:szCs w:val="20"/>
              </w:rPr>
            </w:pPr>
            <w:r>
              <w:rPr>
                <w:color w:val="000000"/>
                <w:sz w:val="20"/>
                <w:szCs w:val="20"/>
              </w:rPr>
              <w:t>9.5%</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8</w:t>
            </w:r>
          </w:p>
        </w:tc>
        <w:tc>
          <w:tcPr>
            <w:tcW w:w="1794" w:type="dxa"/>
            <w:vAlign w:val="bottom"/>
          </w:tcPr>
          <w:p w:rsidR="008E39BB" w:rsidRDefault="008E39BB" w:rsidP="008E39BB">
            <w:pPr>
              <w:jc w:val="center"/>
              <w:rPr>
                <w:color w:val="000000"/>
                <w:sz w:val="20"/>
                <w:szCs w:val="20"/>
              </w:rPr>
            </w:pPr>
            <w:r>
              <w:rPr>
                <w:color w:val="000000"/>
                <w:sz w:val="20"/>
                <w:szCs w:val="20"/>
              </w:rPr>
              <w:t>89.2%</w:t>
            </w:r>
          </w:p>
        </w:tc>
        <w:tc>
          <w:tcPr>
            <w:tcW w:w="1795" w:type="dxa"/>
            <w:vAlign w:val="bottom"/>
          </w:tcPr>
          <w:p w:rsidR="008E39BB" w:rsidRDefault="008E39BB" w:rsidP="008E39BB">
            <w:pPr>
              <w:jc w:val="center"/>
              <w:rPr>
                <w:color w:val="000000"/>
                <w:sz w:val="20"/>
                <w:szCs w:val="20"/>
              </w:rPr>
            </w:pPr>
            <w:r>
              <w:rPr>
                <w:color w:val="000000"/>
                <w:sz w:val="20"/>
                <w:szCs w:val="20"/>
              </w:rPr>
              <w:t>74.3%</w:t>
            </w:r>
          </w:p>
        </w:tc>
        <w:tc>
          <w:tcPr>
            <w:tcW w:w="1795" w:type="dxa"/>
            <w:vAlign w:val="bottom"/>
          </w:tcPr>
          <w:p w:rsidR="008E39BB" w:rsidRDefault="008E39BB" w:rsidP="008E39BB">
            <w:pPr>
              <w:jc w:val="center"/>
              <w:rPr>
                <w:color w:val="000000"/>
                <w:sz w:val="20"/>
                <w:szCs w:val="20"/>
              </w:rPr>
            </w:pPr>
            <w:r>
              <w:rPr>
                <w:color w:val="000000"/>
                <w:sz w:val="20"/>
                <w:szCs w:val="20"/>
              </w:rPr>
              <w:t>41.7%</w:t>
            </w:r>
          </w:p>
        </w:tc>
        <w:tc>
          <w:tcPr>
            <w:tcW w:w="1796" w:type="dxa"/>
            <w:vAlign w:val="bottom"/>
          </w:tcPr>
          <w:p w:rsidR="008E39BB" w:rsidRDefault="008E39BB" w:rsidP="008E39BB">
            <w:pPr>
              <w:jc w:val="center"/>
              <w:rPr>
                <w:color w:val="000000"/>
                <w:sz w:val="20"/>
                <w:szCs w:val="20"/>
              </w:rPr>
            </w:pPr>
            <w:r>
              <w:rPr>
                <w:color w:val="000000"/>
                <w:sz w:val="20"/>
                <w:szCs w:val="20"/>
              </w:rPr>
              <w:t>21.0%</w:t>
            </w:r>
          </w:p>
        </w:tc>
        <w:tc>
          <w:tcPr>
            <w:tcW w:w="1696" w:type="dxa"/>
            <w:vAlign w:val="bottom"/>
          </w:tcPr>
          <w:p w:rsidR="008E39BB" w:rsidRDefault="008E39BB" w:rsidP="008E39BB">
            <w:pPr>
              <w:jc w:val="center"/>
              <w:rPr>
                <w:color w:val="000000"/>
                <w:sz w:val="20"/>
                <w:szCs w:val="20"/>
              </w:rPr>
            </w:pPr>
            <w:r>
              <w:rPr>
                <w:color w:val="000000"/>
                <w:sz w:val="20"/>
                <w:szCs w:val="20"/>
              </w:rPr>
              <w:t>10.6%</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9</w:t>
            </w:r>
          </w:p>
        </w:tc>
        <w:tc>
          <w:tcPr>
            <w:tcW w:w="1794" w:type="dxa"/>
            <w:vAlign w:val="bottom"/>
          </w:tcPr>
          <w:p w:rsidR="008E39BB" w:rsidRDefault="008E39BB" w:rsidP="008E39BB">
            <w:pPr>
              <w:jc w:val="center"/>
              <w:rPr>
                <w:color w:val="000000"/>
                <w:sz w:val="20"/>
                <w:szCs w:val="20"/>
              </w:rPr>
            </w:pPr>
            <w:r>
              <w:rPr>
                <w:color w:val="000000"/>
                <w:sz w:val="20"/>
                <w:szCs w:val="20"/>
              </w:rPr>
              <w:t>90.6%</w:t>
            </w:r>
          </w:p>
        </w:tc>
        <w:tc>
          <w:tcPr>
            <w:tcW w:w="1795" w:type="dxa"/>
            <w:vAlign w:val="bottom"/>
          </w:tcPr>
          <w:p w:rsidR="008E39BB" w:rsidRDefault="008E39BB" w:rsidP="008E39BB">
            <w:pPr>
              <w:jc w:val="center"/>
              <w:rPr>
                <w:color w:val="000000"/>
                <w:sz w:val="20"/>
                <w:szCs w:val="20"/>
              </w:rPr>
            </w:pPr>
            <w:r>
              <w:rPr>
                <w:color w:val="000000"/>
                <w:sz w:val="20"/>
                <w:szCs w:val="20"/>
              </w:rPr>
              <w:t>77.0%</w:t>
            </w:r>
          </w:p>
        </w:tc>
        <w:tc>
          <w:tcPr>
            <w:tcW w:w="1795" w:type="dxa"/>
            <w:vAlign w:val="bottom"/>
          </w:tcPr>
          <w:p w:rsidR="008E39BB" w:rsidRDefault="008E39BB" w:rsidP="008E39BB">
            <w:pPr>
              <w:jc w:val="center"/>
              <w:rPr>
                <w:color w:val="000000"/>
                <w:sz w:val="20"/>
                <w:szCs w:val="20"/>
              </w:rPr>
            </w:pPr>
            <w:r>
              <w:rPr>
                <w:color w:val="000000"/>
                <w:sz w:val="20"/>
                <w:szCs w:val="20"/>
              </w:rPr>
              <w:t>44.4%</w:t>
            </w:r>
          </w:p>
        </w:tc>
        <w:tc>
          <w:tcPr>
            <w:tcW w:w="1796" w:type="dxa"/>
            <w:vAlign w:val="bottom"/>
          </w:tcPr>
          <w:p w:rsidR="008E39BB" w:rsidRDefault="008E39BB" w:rsidP="008E39BB">
            <w:pPr>
              <w:jc w:val="center"/>
              <w:rPr>
                <w:color w:val="000000"/>
                <w:sz w:val="20"/>
                <w:szCs w:val="20"/>
              </w:rPr>
            </w:pPr>
            <w:r>
              <w:rPr>
                <w:color w:val="000000"/>
                <w:sz w:val="20"/>
                <w:szCs w:val="20"/>
              </w:rPr>
              <w:t>22.2%</w:t>
            </w:r>
          </w:p>
        </w:tc>
        <w:tc>
          <w:tcPr>
            <w:tcW w:w="1696" w:type="dxa"/>
            <w:vAlign w:val="bottom"/>
          </w:tcPr>
          <w:p w:rsidR="008E39BB" w:rsidRDefault="008E39BB" w:rsidP="008E39BB">
            <w:pPr>
              <w:jc w:val="center"/>
              <w:rPr>
                <w:color w:val="000000"/>
                <w:sz w:val="20"/>
                <w:szCs w:val="20"/>
              </w:rPr>
            </w:pPr>
            <w:r>
              <w:rPr>
                <w:color w:val="000000"/>
                <w:sz w:val="20"/>
                <w:szCs w:val="20"/>
              </w:rPr>
              <w:t>11.5%</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10</w:t>
            </w:r>
          </w:p>
        </w:tc>
        <w:tc>
          <w:tcPr>
            <w:tcW w:w="1794" w:type="dxa"/>
            <w:vAlign w:val="bottom"/>
          </w:tcPr>
          <w:p w:rsidR="008E39BB" w:rsidRDefault="008E39BB" w:rsidP="008E39BB">
            <w:pPr>
              <w:jc w:val="center"/>
              <w:rPr>
                <w:color w:val="000000"/>
                <w:sz w:val="20"/>
                <w:szCs w:val="20"/>
              </w:rPr>
            </w:pPr>
            <w:r>
              <w:rPr>
                <w:color w:val="000000"/>
                <w:sz w:val="20"/>
                <w:szCs w:val="20"/>
              </w:rPr>
              <w:t>91.7%</w:t>
            </w:r>
          </w:p>
        </w:tc>
        <w:tc>
          <w:tcPr>
            <w:tcW w:w="1795" w:type="dxa"/>
            <w:vAlign w:val="bottom"/>
          </w:tcPr>
          <w:p w:rsidR="008E39BB" w:rsidRDefault="008E39BB" w:rsidP="008E39BB">
            <w:pPr>
              <w:jc w:val="center"/>
              <w:rPr>
                <w:color w:val="000000"/>
                <w:sz w:val="20"/>
                <w:szCs w:val="20"/>
              </w:rPr>
            </w:pPr>
            <w:r>
              <w:rPr>
                <w:color w:val="000000"/>
                <w:sz w:val="20"/>
                <w:szCs w:val="20"/>
              </w:rPr>
              <w:t>79.7%</w:t>
            </w:r>
          </w:p>
        </w:tc>
        <w:tc>
          <w:tcPr>
            <w:tcW w:w="1795" w:type="dxa"/>
            <w:vAlign w:val="bottom"/>
          </w:tcPr>
          <w:p w:rsidR="008E39BB" w:rsidRDefault="008E39BB" w:rsidP="008E39BB">
            <w:pPr>
              <w:jc w:val="center"/>
              <w:rPr>
                <w:color w:val="000000"/>
                <w:sz w:val="20"/>
                <w:szCs w:val="20"/>
              </w:rPr>
            </w:pPr>
            <w:r>
              <w:rPr>
                <w:color w:val="000000"/>
                <w:sz w:val="20"/>
                <w:szCs w:val="20"/>
              </w:rPr>
              <w:t>47.9%</w:t>
            </w:r>
          </w:p>
        </w:tc>
        <w:tc>
          <w:tcPr>
            <w:tcW w:w="1796" w:type="dxa"/>
            <w:vAlign w:val="bottom"/>
          </w:tcPr>
          <w:p w:rsidR="008E39BB" w:rsidRDefault="008E39BB" w:rsidP="008E39BB">
            <w:pPr>
              <w:jc w:val="center"/>
              <w:rPr>
                <w:color w:val="000000"/>
                <w:sz w:val="20"/>
                <w:szCs w:val="20"/>
              </w:rPr>
            </w:pPr>
            <w:r>
              <w:rPr>
                <w:color w:val="000000"/>
                <w:sz w:val="20"/>
                <w:szCs w:val="20"/>
              </w:rPr>
              <w:t>24.6%</w:t>
            </w:r>
          </w:p>
        </w:tc>
        <w:tc>
          <w:tcPr>
            <w:tcW w:w="1696" w:type="dxa"/>
            <w:vAlign w:val="bottom"/>
          </w:tcPr>
          <w:p w:rsidR="008E39BB" w:rsidRDefault="008E39BB" w:rsidP="008E39BB">
            <w:pPr>
              <w:jc w:val="center"/>
              <w:rPr>
                <w:color w:val="000000"/>
                <w:sz w:val="20"/>
                <w:szCs w:val="20"/>
              </w:rPr>
            </w:pPr>
            <w:r>
              <w:rPr>
                <w:color w:val="000000"/>
                <w:sz w:val="20"/>
                <w:szCs w:val="20"/>
              </w:rPr>
              <w:t>13.0%</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11</w:t>
            </w:r>
          </w:p>
        </w:tc>
        <w:tc>
          <w:tcPr>
            <w:tcW w:w="1794" w:type="dxa"/>
            <w:vAlign w:val="bottom"/>
          </w:tcPr>
          <w:p w:rsidR="008E39BB" w:rsidRDefault="008E39BB" w:rsidP="008E39BB">
            <w:pPr>
              <w:jc w:val="center"/>
              <w:rPr>
                <w:color w:val="000000"/>
                <w:sz w:val="20"/>
                <w:szCs w:val="20"/>
              </w:rPr>
            </w:pPr>
            <w:r>
              <w:rPr>
                <w:color w:val="000000"/>
                <w:sz w:val="20"/>
                <w:szCs w:val="20"/>
              </w:rPr>
              <w:t>92.6%</w:t>
            </w:r>
          </w:p>
        </w:tc>
        <w:tc>
          <w:tcPr>
            <w:tcW w:w="1795" w:type="dxa"/>
            <w:vAlign w:val="bottom"/>
          </w:tcPr>
          <w:p w:rsidR="008E39BB" w:rsidRDefault="008E39BB" w:rsidP="008E39BB">
            <w:pPr>
              <w:jc w:val="center"/>
              <w:rPr>
                <w:color w:val="000000"/>
                <w:sz w:val="20"/>
                <w:szCs w:val="20"/>
              </w:rPr>
            </w:pPr>
            <w:r>
              <w:rPr>
                <w:color w:val="000000"/>
                <w:sz w:val="20"/>
                <w:szCs w:val="20"/>
              </w:rPr>
              <w:t>81.1%</w:t>
            </w:r>
          </w:p>
        </w:tc>
        <w:tc>
          <w:tcPr>
            <w:tcW w:w="1795" w:type="dxa"/>
            <w:vAlign w:val="bottom"/>
          </w:tcPr>
          <w:p w:rsidR="008E39BB" w:rsidRDefault="008E39BB" w:rsidP="008E39BB">
            <w:pPr>
              <w:jc w:val="center"/>
              <w:rPr>
                <w:color w:val="000000"/>
                <w:sz w:val="20"/>
                <w:szCs w:val="20"/>
              </w:rPr>
            </w:pPr>
            <w:r>
              <w:rPr>
                <w:color w:val="000000"/>
                <w:sz w:val="20"/>
                <w:szCs w:val="20"/>
              </w:rPr>
              <w:t>50.5%</w:t>
            </w:r>
          </w:p>
        </w:tc>
        <w:tc>
          <w:tcPr>
            <w:tcW w:w="1796" w:type="dxa"/>
            <w:vAlign w:val="bottom"/>
          </w:tcPr>
          <w:p w:rsidR="008E39BB" w:rsidRDefault="008E39BB" w:rsidP="008E39BB">
            <w:pPr>
              <w:jc w:val="center"/>
              <w:rPr>
                <w:color w:val="000000"/>
                <w:sz w:val="20"/>
                <w:szCs w:val="20"/>
              </w:rPr>
            </w:pPr>
            <w:r>
              <w:rPr>
                <w:color w:val="000000"/>
                <w:sz w:val="20"/>
                <w:szCs w:val="20"/>
              </w:rPr>
              <w:t>26.4%</w:t>
            </w:r>
          </w:p>
        </w:tc>
        <w:tc>
          <w:tcPr>
            <w:tcW w:w="1696" w:type="dxa"/>
            <w:vAlign w:val="bottom"/>
          </w:tcPr>
          <w:p w:rsidR="008E39BB" w:rsidRDefault="008E39BB" w:rsidP="008E39BB">
            <w:pPr>
              <w:jc w:val="center"/>
              <w:rPr>
                <w:color w:val="000000"/>
                <w:sz w:val="20"/>
                <w:szCs w:val="20"/>
              </w:rPr>
            </w:pPr>
            <w:r>
              <w:rPr>
                <w:color w:val="000000"/>
                <w:sz w:val="20"/>
                <w:szCs w:val="20"/>
              </w:rPr>
              <w:t>14.1%</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12</w:t>
            </w:r>
          </w:p>
        </w:tc>
        <w:tc>
          <w:tcPr>
            <w:tcW w:w="1794" w:type="dxa"/>
            <w:vAlign w:val="bottom"/>
          </w:tcPr>
          <w:p w:rsidR="008E39BB" w:rsidRDefault="008E39BB" w:rsidP="008E39BB">
            <w:pPr>
              <w:jc w:val="center"/>
              <w:rPr>
                <w:color w:val="000000"/>
                <w:sz w:val="20"/>
                <w:szCs w:val="20"/>
              </w:rPr>
            </w:pPr>
            <w:r>
              <w:rPr>
                <w:color w:val="000000"/>
                <w:sz w:val="20"/>
                <w:szCs w:val="20"/>
              </w:rPr>
              <w:t>93.2%</w:t>
            </w:r>
          </w:p>
        </w:tc>
        <w:tc>
          <w:tcPr>
            <w:tcW w:w="1795" w:type="dxa"/>
            <w:vAlign w:val="bottom"/>
          </w:tcPr>
          <w:p w:rsidR="008E39BB" w:rsidRDefault="008E39BB" w:rsidP="008E39BB">
            <w:pPr>
              <w:jc w:val="center"/>
              <w:rPr>
                <w:color w:val="000000"/>
                <w:sz w:val="20"/>
                <w:szCs w:val="20"/>
              </w:rPr>
            </w:pPr>
            <w:r>
              <w:rPr>
                <w:color w:val="000000"/>
                <w:sz w:val="20"/>
                <w:szCs w:val="20"/>
              </w:rPr>
              <w:t>82.8%</w:t>
            </w:r>
          </w:p>
        </w:tc>
        <w:tc>
          <w:tcPr>
            <w:tcW w:w="1795" w:type="dxa"/>
            <w:vAlign w:val="bottom"/>
          </w:tcPr>
          <w:p w:rsidR="008E39BB" w:rsidRDefault="008E39BB" w:rsidP="008E39BB">
            <w:pPr>
              <w:jc w:val="center"/>
              <w:rPr>
                <w:color w:val="000000"/>
                <w:sz w:val="20"/>
                <w:szCs w:val="20"/>
              </w:rPr>
            </w:pPr>
            <w:r>
              <w:rPr>
                <w:color w:val="000000"/>
                <w:sz w:val="20"/>
                <w:szCs w:val="20"/>
              </w:rPr>
              <w:t>52.3%</w:t>
            </w:r>
          </w:p>
        </w:tc>
        <w:tc>
          <w:tcPr>
            <w:tcW w:w="1796" w:type="dxa"/>
            <w:vAlign w:val="bottom"/>
          </w:tcPr>
          <w:p w:rsidR="008E39BB" w:rsidRDefault="008E39BB" w:rsidP="008E39BB">
            <w:pPr>
              <w:jc w:val="center"/>
              <w:rPr>
                <w:color w:val="000000"/>
                <w:sz w:val="20"/>
                <w:szCs w:val="20"/>
              </w:rPr>
            </w:pPr>
            <w:r>
              <w:rPr>
                <w:color w:val="000000"/>
                <w:sz w:val="20"/>
                <w:szCs w:val="20"/>
              </w:rPr>
              <w:t>27.5%</w:t>
            </w:r>
          </w:p>
        </w:tc>
        <w:tc>
          <w:tcPr>
            <w:tcW w:w="1696" w:type="dxa"/>
            <w:vAlign w:val="bottom"/>
          </w:tcPr>
          <w:p w:rsidR="008E39BB" w:rsidRDefault="008E39BB" w:rsidP="008E39BB">
            <w:pPr>
              <w:jc w:val="center"/>
              <w:rPr>
                <w:color w:val="000000"/>
                <w:sz w:val="20"/>
                <w:szCs w:val="20"/>
              </w:rPr>
            </w:pPr>
            <w:r>
              <w:rPr>
                <w:color w:val="000000"/>
                <w:sz w:val="20"/>
                <w:szCs w:val="20"/>
              </w:rPr>
              <w:t>15.0%</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13</w:t>
            </w:r>
          </w:p>
        </w:tc>
        <w:tc>
          <w:tcPr>
            <w:tcW w:w="1794" w:type="dxa"/>
            <w:vAlign w:val="bottom"/>
          </w:tcPr>
          <w:p w:rsidR="008E39BB" w:rsidRDefault="008E39BB" w:rsidP="008E39BB">
            <w:pPr>
              <w:jc w:val="center"/>
              <w:rPr>
                <w:color w:val="000000"/>
                <w:sz w:val="20"/>
                <w:szCs w:val="20"/>
              </w:rPr>
            </w:pPr>
            <w:r>
              <w:rPr>
                <w:color w:val="000000"/>
                <w:sz w:val="20"/>
                <w:szCs w:val="20"/>
              </w:rPr>
              <w:t>93.8%</w:t>
            </w:r>
          </w:p>
        </w:tc>
        <w:tc>
          <w:tcPr>
            <w:tcW w:w="1795" w:type="dxa"/>
            <w:vAlign w:val="bottom"/>
          </w:tcPr>
          <w:p w:rsidR="008E39BB" w:rsidRDefault="008E39BB" w:rsidP="008E39BB">
            <w:pPr>
              <w:jc w:val="center"/>
              <w:rPr>
                <w:color w:val="000000"/>
                <w:sz w:val="20"/>
                <w:szCs w:val="20"/>
              </w:rPr>
            </w:pPr>
            <w:r>
              <w:rPr>
                <w:color w:val="000000"/>
                <w:sz w:val="20"/>
                <w:szCs w:val="20"/>
              </w:rPr>
              <w:t>84.0%</w:t>
            </w:r>
          </w:p>
        </w:tc>
        <w:tc>
          <w:tcPr>
            <w:tcW w:w="1795" w:type="dxa"/>
            <w:vAlign w:val="bottom"/>
          </w:tcPr>
          <w:p w:rsidR="008E39BB" w:rsidRDefault="008E39BB" w:rsidP="008E39BB">
            <w:pPr>
              <w:jc w:val="center"/>
              <w:rPr>
                <w:color w:val="000000"/>
                <w:sz w:val="20"/>
                <w:szCs w:val="20"/>
              </w:rPr>
            </w:pPr>
            <w:r>
              <w:rPr>
                <w:color w:val="000000"/>
                <w:sz w:val="20"/>
                <w:szCs w:val="20"/>
              </w:rPr>
              <w:t>54.4%</w:t>
            </w:r>
          </w:p>
        </w:tc>
        <w:tc>
          <w:tcPr>
            <w:tcW w:w="1796" w:type="dxa"/>
            <w:vAlign w:val="bottom"/>
          </w:tcPr>
          <w:p w:rsidR="008E39BB" w:rsidRDefault="008E39BB" w:rsidP="008E39BB">
            <w:pPr>
              <w:jc w:val="center"/>
              <w:rPr>
                <w:color w:val="000000"/>
                <w:sz w:val="20"/>
                <w:szCs w:val="20"/>
              </w:rPr>
            </w:pPr>
            <w:r>
              <w:rPr>
                <w:color w:val="000000"/>
                <w:sz w:val="20"/>
                <w:szCs w:val="20"/>
              </w:rPr>
              <w:t>29.1%</w:t>
            </w:r>
          </w:p>
        </w:tc>
        <w:tc>
          <w:tcPr>
            <w:tcW w:w="1696" w:type="dxa"/>
            <w:vAlign w:val="bottom"/>
          </w:tcPr>
          <w:p w:rsidR="008E39BB" w:rsidRDefault="008E39BB" w:rsidP="008E39BB">
            <w:pPr>
              <w:jc w:val="center"/>
              <w:rPr>
                <w:color w:val="000000"/>
                <w:sz w:val="20"/>
                <w:szCs w:val="20"/>
              </w:rPr>
            </w:pPr>
            <w:r>
              <w:rPr>
                <w:color w:val="000000"/>
                <w:sz w:val="20"/>
                <w:szCs w:val="20"/>
              </w:rPr>
              <w:t>16.0%</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14</w:t>
            </w:r>
          </w:p>
        </w:tc>
        <w:tc>
          <w:tcPr>
            <w:tcW w:w="1794" w:type="dxa"/>
            <w:vAlign w:val="bottom"/>
          </w:tcPr>
          <w:p w:rsidR="008E39BB" w:rsidRDefault="008E39BB" w:rsidP="008E39BB">
            <w:pPr>
              <w:jc w:val="center"/>
              <w:rPr>
                <w:color w:val="000000"/>
                <w:sz w:val="20"/>
                <w:szCs w:val="20"/>
              </w:rPr>
            </w:pPr>
            <w:r>
              <w:rPr>
                <w:color w:val="000000"/>
                <w:sz w:val="20"/>
                <w:szCs w:val="20"/>
              </w:rPr>
              <w:t>94.3%</w:t>
            </w:r>
          </w:p>
        </w:tc>
        <w:tc>
          <w:tcPr>
            <w:tcW w:w="1795" w:type="dxa"/>
            <w:vAlign w:val="bottom"/>
          </w:tcPr>
          <w:p w:rsidR="008E39BB" w:rsidRDefault="008E39BB" w:rsidP="008E39BB">
            <w:pPr>
              <w:jc w:val="center"/>
              <w:rPr>
                <w:color w:val="000000"/>
                <w:sz w:val="20"/>
                <w:szCs w:val="20"/>
              </w:rPr>
            </w:pPr>
            <w:r>
              <w:rPr>
                <w:color w:val="000000"/>
                <w:sz w:val="20"/>
                <w:szCs w:val="20"/>
              </w:rPr>
              <w:t>85.6%</w:t>
            </w:r>
          </w:p>
        </w:tc>
        <w:tc>
          <w:tcPr>
            <w:tcW w:w="1795" w:type="dxa"/>
            <w:vAlign w:val="bottom"/>
          </w:tcPr>
          <w:p w:rsidR="008E39BB" w:rsidRDefault="008E39BB" w:rsidP="008E39BB">
            <w:pPr>
              <w:jc w:val="center"/>
              <w:rPr>
                <w:color w:val="000000"/>
                <w:sz w:val="20"/>
                <w:szCs w:val="20"/>
              </w:rPr>
            </w:pPr>
            <w:r>
              <w:rPr>
                <w:color w:val="000000"/>
                <w:sz w:val="20"/>
                <w:szCs w:val="20"/>
              </w:rPr>
              <w:t>56.4%</w:t>
            </w:r>
          </w:p>
        </w:tc>
        <w:tc>
          <w:tcPr>
            <w:tcW w:w="1796" w:type="dxa"/>
            <w:vAlign w:val="bottom"/>
          </w:tcPr>
          <w:p w:rsidR="008E39BB" w:rsidRDefault="008E39BB" w:rsidP="008E39BB">
            <w:pPr>
              <w:jc w:val="center"/>
              <w:rPr>
                <w:color w:val="000000"/>
                <w:sz w:val="20"/>
                <w:szCs w:val="20"/>
              </w:rPr>
            </w:pPr>
            <w:r>
              <w:rPr>
                <w:color w:val="000000"/>
                <w:sz w:val="20"/>
                <w:szCs w:val="20"/>
              </w:rPr>
              <w:t>30.6%</w:t>
            </w:r>
          </w:p>
        </w:tc>
        <w:tc>
          <w:tcPr>
            <w:tcW w:w="1696" w:type="dxa"/>
            <w:vAlign w:val="bottom"/>
          </w:tcPr>
          <w:p w:rsidR="008E39BB" w:rsidRDefault="008E39BB" w:rsidP="008E39BB">
            <w:pPr>
              <w:jc w:val="center"/>
              <w:rPr>
                <w:color w:val="000000"/>
                <w:sz w:val="20"/>
                <w:szCs w:val="20"/>
              </w:rPr>
            </w:pPr>
            <w:r>
              <w:rPr>
                <w:color w:val="000000"/>
                <w:sz w:val="20"/>
                <w:szCs w:val="20"/>
              </w:rPr>
              <w:t>16.8%</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15</w:t>
            </w:r>
          </w:p>
        </w:tc>
        <w:tc>
          <w:tcPr>
            <w:tcW w:w="1794" w:type="dxa"/>
            <w:vAlign w:val="bottom"/>
          </w:tcPr>
          <w:p w:rsidR="008E39BB" w:rsidRDefault="008E39BB" w:rsidP="008E39BB">
            <w:pPr>
              <w:jc w:val="center"/>
              <w:rPr>
                <w:color w:val="000000"/>
                <w:sz w:val="20"/>
                <w:szCs w:val="20"/>
              </w:rPr>
            </w:pPr>
            <w:r>
              <w:rPr>
                <w:color w:val="000000"/>
                <w:sz w:val="20"/>
                <w:szCs w:val="20"/>
              </w:rPr>
              <w:t>95.0%</w:t>
            </w:r>
          </w:p>
        </w:tc>
        <w:tc>
          <w:tcPr>
            <w:tcW w:w="1795" w:type="dxa"/>
            <w:vAlign w:val="bottom"/>
          </w:tcPr>
          <w:p w:rsidR="008E39BB" w:rsidRDefault="008E39BB" w:rsidP="008E39BB">
            <w:pPr>
              <w:jc w:val="center"/>
              <w:rPr>
                <w:color w:val="000000"/>
                <w:sz w:val="20"/>
                <w:szCs w:val="20"/>
              </w:rPr>
            </w:pPr>
            <w:r>
              <w:rPr>
                <w:color w:val="000000"/>
                <w:sz w:val="20"/>
                <w:szCs w:val="20"/>
              </w:rPr>
              <w:t>86.8%</w:t>
            </w:r>
          </w:p>
        </w:tc>
        <w:tc>
          <w:tcPr>
            <w:tcW w:w="1795" w:type="dxa"/>
            <w:vAlign w:val="bottom"/>
          </w:tcPr>
          <w:p w:rsidR="008E39BB" w:rsidRDefault="008E39BB" w:rsidP="008E39BB">
            <w:pPr>
              <w:jc w:val="center"/>
              <w:rPr>
                <w:color w:val="000000"/>
                <w:sz w:val="20"/>
                <w:szCs w:val="20"/>
              </w:rPr>
            </w:pPr>
            <w:r>
              <w:rPr>
                <w:color w:val="000000"/>
                <w:sz w:val="20"/>
                <w:szCs w:val="20"/>
              </w:rPr>
              <w:t>58.1%</w:t>
            </w:r>
          </w:p>
        </w:tc>
        <w:tc>
          <w:tcPr>
            <w:tcW w:w="1796" w:type="dxa"/>
            <w:vAlign w:val="bottom"/>
          </w:tcPr>
          <w:p w:rsidR="008E39BB" w:rsidRDefault="008E39BB" w:rsidP="008E39BB">
            <w:pPr>
              <w:jc w:val="center"/>
              <w:rPr>
                <w:color w:val="000000"/>
                <w:sz w:val="20"/>
                <w:szCs w:val="20"/>
              </w:rPr>
            </w:pPr>
            <w:r>
              <w:rPr>
                <w:color w:val="000000"/>
                <w:sz w:val="20"/>
                <w:szCs w:val="20"/>
              </w:rPr>
              <w:t>32.8%</w:t>
            </w:r>
          </w:p>
        </w:tc>
        <w:tc>
          <w:tcPr>
            <w:tcW w:w="1696" w:type="dxa"/>
            <w:vAlign w:val="bottom"/>
          </w:tcPr>
          <w:p w:rsidR="008E39BB" w:rsidRDefault="008E39BB" w:rsidP="008E39BB">
            <w:pPr>
              <w:jc w:val="center"/>
              <w:rPr>
                <w:color w:val="000000"/>
                <w:sz w:val="20"/>
                <w:szCs w:val="20"/>
              </w:rPr>
            </w:pPr>
            <w:r>
              <w:rPr>
                <w:color w:val="000000"/>
                <w:sz w:val="20"/>
                <w:szCs w:val="20"/>
              </w:rPr>
              <w:t>17.9%</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16</w:t>
            </w:r>
          </w:p>
        </w:tc>
        <w:tc>
          <w:tcPr>
            <w:tcW w:w="1794" w:type="dxa"/>
            <w:vAlign w:val="bottom"/>
          </w:tcPr>
          <w:p w:rsidR="008E39BB" w:rsidRDefault="008E39BB" w:rsidP="008E39BB">
            <w:pPr>
              <w:jc w:val="center"/>
              <w:rPr>
                <w:color w:val="000000"/>
                <w:sz w:val="20"/>
                <w:szCs w:val="20"/>
              </w:rPr>
            </w:pPr>
            <w:r>
              <w:rPr>
                <w:color w:val="000000"/>
                <w:sz w:val="20"/>
                <w:szCs w:val="20"/>
              </w:rPr>
              <w:t>95.4%</w:t>
            </w:r>
          </w:p>
        </w:tc>
        <w:tc>
          <w:tcPr>
            <w:tcW w:w="1795" w:type="dxa"/>
            <w:vAlign w:val="bottom"/>
          </w:tcPr>
          <w:p w:rsidR="008E39BB" w:rsidRDefault="008E39BB" w:rsidP="008E39BB">
            <w:pPr>
              <w:jc w:val="center"/>
              <w:rPr>
                <w:color w:val="000000"/>
                <w:sz w:val="20"/>
                <w:szCs w:val="20"/>
              </w:rPr>
            </w:pPr>
            <w:r>
              <w:rPr>
                <w:color w:val="000000"/>
                <w:sz w:val="20"/>
                <w:szCs w:val="20"/>
              </w:rPr>
              <w:t>88.3%</w:t>
            </w:r>
          </w:p>
        </w:tc>
        <w:tc>
          <w:tcPr>
            <w:tcW w:w="1795" w:type="dxa"/>
            <w:vAlign w:val="bottom"/>
          </w:tcPr>
          <w:p w:rsidR="008E39BB" w:rsidRDefault="008E39BB" w:rsidP="008E39BB">
            <w:pPr>
              <w:jc w:val="center"/>
              <w:rPr>
                <w:color w:val="000000"/>
                <w:sz w:val="20"/>
                <w:szCs w:val="20"/>
              </w:rPr>
            </w:pPr>
            <w:r>
              <w:rPr>
                <w:color w:val="000000"/>
                <w:sz w:val="20"/>
                <w:szCs w:val="20"/>
              </w:rPr>
              <w:t>60.4%</w:t>
            </w:r>
          </w:p>
        </w:tc>
        <w:tc>
          <w:tcPr>
            <w:tcW w:w="1796" w:type="dxa"/>
            <w:vAlign w:val="bottom"/>
          </w:tcPr>
          <w:p w:rsidR="008E39BB" w:rsidRDefault="008E39BB" w:rsidP="008E39BB">
            <w:pPr>
              <w:jc w:val="center"/>
              <w:rPr>
                <w:color w:val="000000"/>
                <w:sz w:val="20"/>
                <w:szCs w:val="20"/>
              </w:rPr>
            </w:pPr>
            <w:r>
              <w:rPr>
                <w:color w:val="000000"/>
                <w:sz w:val="20"/>
                <w:szCs w:val="20"/>
              </w:rPr>
              <w:t>34.3%</w:t>
            </w:r>
          </w:p>
        </w:tc>
        <w:tc>
          <w:tcPr>
            <w:tcW w:w="1696" w:type="dxa"/>
            <w:vAlign w:val="bottom"/>
          </w:tcPr>
          <w:p w:rsidR="008E39BB" w:rsidRDefault="008E39BB" w:rsidP="008E39BB">
            <w:pPr>
              <w:jc w:val="center"/>
              <w:rPr>
                <w:color w:val="000000"/>
                <w:sz w:val="20"/>
                <w:szCs w:val="20"/>
              </w:rPr>
            </w:pPr>
            <w:r>
              <w:rPr>
                <w:color w:val="000000"/>
                <w:sz w:val="20"/>
                <w:szCs w:val="20"/>
              </w:rPr>
              <w:t>18.9%</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17</w:t>
            </w:r>
          </w:p>
        </w:tc>
        <w:tc>
          <w:tcPr>
            <w:tcW w:w="1794" w:type="dxa"/>
            <w:vAlign w:val="bottom"/>
          </w:tcPr>
          <w:p w:rsidR="008E39BB" w:rsidRDefault="008E39BB" w:rsidP="008E39BB">
            <w:pPr>
              <w:jc w:val="center"/>
              <w:rPr>
                <w:color w:val="000000"/>
                <w:sz w:val="20"/>
                <w:szCs w:val="20"/>
              </w:rPr>
            </w:pPr>
            <w:r>
              <w:rPr>
                <w:color w:val="000000"/>
                <w:sz w:val="20"/>
                <w:szCs w:val="20"/>
              </w:rPr>
              <w:t>96.0%</w:t>
            </w:r>
          </w:p>
        </w:tc>
        <w:tc>
          <w:tcPr>
            <w:tcW w:w="1795" w:type="dxa"/>
            <w:vAlign w:val="bottom"/>
          </w:tcPr>
          <w:p w:rsidR="008E39BB" w:rsidRDefault="008E39BB" w:rsidP="008E39BB">
            <w:pPr>
              <w:jc w:val="center"/>
              <w:rPr>
                <w:color w:val="000000"/>
                <w:sz w:val="20"/>
                <w:szCs w:val="20"/>
              </w:rPr>
            </w:pPr>
            <w:r>
              <w:rPr>
                <w:color w:val="000000"/>
                <w:sz w:val="20"/>
                <w:szCs w:val="20"/>
              </w:rPr>
              <w:t>89.7%</w:t>
            </w:r>
          </w:p>
        </w:tc>
        <w:tc>
          <w:tcPr>
            <w:tcW w:w="1795" w:type="dxa"/>
            <w:vAlign w:val="bottom"/>
          </w:tcPr>
          <w:p w:rsidR="008E39BB" w:rsidRDefault="008E39BB" w:rsidP="008E39BB">
            <w:pPr>
              <w:jc w:val="center"/>
              <w:rPr>
                <w:color w:val="000000"/>
                <w:sz w:val="20"/>
                <w:szCs w:val="20"/>
              </w:rPr>
            </w:pPr>
            <w:r>
              <w:rPr>
                <w:color w:val="000000"/>
                <w:sz w:val="20"/>
                <w:szCs w:val="20"/>
              </w:rPr>
              <w:t>62.2%</w:t>
            </w:r>
          </w:p>
        </w:tc>
        <w:tc>
          <w:tcPr>
            <w:tcW w:w="1796" w:type="dxa"/>
            <w:vAlign w:val="bottom"/>
          </w:tcPr>
          <w:p w:rsidR="008E39BB" w:rsidRDefault="008E39BB" w:rsidP="008E39BB">
            <w:pPr>
              <w:jc w:val="center"/>
              <w:rPr>
                <w:color w:val="000000"/>
                <w:sz w:val="20"/>
                <w:szCs w:val="20"/>
              </w:rPr>
            </w:pPr>
            <w:r>
              <w:rPr>
                <w:color w:val="000000"/>
                <w:sz w:val="20"/>
                <w:szCs w:val="20"/>
              </w:rPr>
              <w:t>36.4%</w:t>
            </w:r>
          </w:p>
        </w:tc>
        <w:tc>
          <w:tcPr>
            <w:tcW w:w="1696" w:type="dxa"/>
            <w:vAlign w:val="bottom"/>
          </w:tcPr>
          <w:p w:rsidR="008E39BB" w:rsidRDefault="008E39BB" w:rsidP="008E39BB">
            <w:pPr>
              <w:jc w:val="center"/>
              <w:rPr>
                <w:color w:val="000000"/>
                <w:sz w:val="20"/>
                <w:szCs w:val="20"/>
              </w:rPr>
            </w:pPr>
            <w:r>
              <w:rPr>
                <w:color w:val="000000"/>
                <w:sz w:val="20"/>
                <w:szCs w:val="20"/>
              </w:rPr>
              <w:t>20.3%</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18</w:t>
            </w:r>
          </w:p>
        </w:tc>
        <w:tc>
          <w:tcPr>
            <w:tcW w:w="1794" w:type="dxa"/>
            <w:vAlign w:val="bottom"/>
          </w:tcPr>
          <w:p w:rsidR="008E39BB" w:rsidRDefault="008E39BB" w:rsidP="008E39BB">
            <w:pPr>
              <w:jc w:val="center"/>
              <w:rPr>
                <w:color w:val="000000"/>
                <w:sz w:val="20"/>
                <w:szCs w:val="20"/>
              </w:rPr>
            </w:pPr>
            <w:r>
              <w:rPr>
                <w:color w:val="000000"/>
                <w:sz w:val="20"/>
                <w:szCs w:val="20"/>
              </w:rPr>
              <w:t>96.4%</w:t>
            </w:r>
          </w:p>
        </w:tc>
        <w:tc>
          <w:tcPr>
            <w:tcW w:w="1795" w:type="dxa"/>
            <w:vAlign w:val="bottom"/>
          </w:tcPr>
          <w:p w:rsidR="008E39BB" w:rsidRDefault="008E39BB" w:rsidP="008E39BB">
            <w:pPr>
              <w:jc w:val="center"/>
              <w:rPr>
                <w:color w:val="000000"/>
                <w:sz w:val="20"/>
                <w:szCs w:val="20"/>
              </w:rPr>
            </w:pPr>
            <w:r>
              <w:rPr>
                <w:color w:val="000000"/>
                <w:sz w:val="20"/>
                <w:szCs w:val="20"/>
              </w:rPr>
              <w:t>90.4%</w:t>
            </w:r>
          </w:p>
        </w:tc>
        <w:tc>
          <w:tcPr>
            <w:tcW w:w="1795" w:type="dxa"/>
            <w:vAlign w:val="bottom"/>
          </w:tcPr>
          <w:p w:rsidR="008E39BB" w:rsidRDefault="008E39BB" w:rsidP="008E39BB">
            <w:pPr>
              <w:jc w:val="center"/>
              <w:rPr>
                <w:color w:val="000000"/>
                <w:sz w:val="20"/>
                <w:szCs w:val="20"/>
              </w:rPr>
            </w:pPr>
            <w:r>
              <w:rPr>
                <w:color w:val="000000"/>
                <w:sz w:val="20"/>
                <w:szCs w:val="20"/>
              </w:rPr>
              <w:t>64.4%</w:t>
            </w:r>
          </w:p>
        </w:tc>
        <w:tc>
          <w:tcPr>
            <w:tcW w:w="1796" w:type="dxa"/>
            <w:vAlign w:val="bottom"/>
          </w:tcPr>
          <w:p w:rsidR="008E39BB" w:rsidRDefault="008E39BB" w:rsidP="008E39BB">
            <w:pPr>
              <w:jc w:val="center"/>
              <w:rPr>
                <w:color w:val="000000"/>
                <w:sz w:val="20"/>
                <w:szCs w:val="20"/>
              </w:rPr>
            </w:pPr>
            <w:r>
              <w:rPr>
                <w:color w:val="000000"/>
                <w:sz w:val="20"/>
                <w:szCs w:val="20"/>
              </w:rPr>
              <w:t>38.1%</w:t>
            </w:r>
          </w:p>
        </w:tc>
        <w:tc>
          <w:tcPr>
            <w:tcW w:w="1696" w:type="dxa"/>
            <w:vAlign w:val="bottom"/>
          </w:tcPr>
          <w:p w:rsidR="008E39BB" w:rsidRDefault="008E39BB" w:rsidP="008E39BB">
            <w:pPr>
              <w:jc w:val="center"/>
              <w:rPr>
                <w:color w:val="000000"/>
                <w:sz w:val="20"/>
                <w:szCs w:val="20"/>
              </w:rPr>
            </w:pPr>
            <w:r>
              <w:rPr>
                <w:color w:val="000000"/>
                <w:sz w:val="20"/>
                <w:szCs w:val="20"/>
              </w:rPr>
              <w:t>21.4%</w:t>
            </w:r>
          </w:p>
        </w:tc>
      </w:tr>
      <w:tr w:rsidR="008E39BB" w:rsidRPr="00497803" w:rsidTr="008E39BB">
        <w:trPr>
          <w:jc w:val="center"/>
        </w:trPr>
        <w:tc>
          <w:tcPr>
            <w:tcW w:w="700" w:type="dxa"/>
            <w:vAlign w:val="bottom"/>
          </w:tcPr>
          <w:p w:rsidR="00877535" w:rsidRDefault="008E39BB" w:rsidP="00DE2A70">
            <w:pPr>
              <w:widowControl w:val="0"/>
              <w:jc w:val="left"/>
              <w:rPr>
                <w:rFonts w:cs="Times New Roman"/>
                <w:color w:val="000000"/>
                <w:sz w:val="20"/>
                <w:szCs w:val="20"/>
              </w:rPr>
            </w:pPr>
            <w:r w:rsidRPr="00497803">
              <w:rPr>
                <w:rFonts w:cs="Times New Roman"/>
                <w:color w:val="000000"/>
                <w:sz w:val="20"/>
                <w:szCs w:val="20"/>
              </w:rPr>
              <w:t>19</w:t>
            </w:r>
          </w:p>
        </w:tc>
        <w:tc>
          <w:tcPr>
            <w:tcW w:w="1794" w:type="dxa"/>
            <w:vAlign w:val="bottom"/>
          </w:tcPr>
          <w:p w:rsidR="008E39BB" w:rsidRDefault="008E39BB" w:rsidP="008E39BB">
            <w:pPr>
              <w:jc w:val="center"/>
              <w:rPr>
                <w:color w:val="000000"/>
                <w:sz w:val="20"/>
                <w:szCs w:val="20"/>
              </w:rPr>
            </w:pPr>
            <w:r>
              <w:rPr>
                <w:color w:val="000000"/>
                <w:sz w:val="20"/>
                <w:szCs w:val="20"/>
              </w:rPr>
              <w:t>96.8%</w:t>
            </w:r>
          </w:p>
        </w:tc>
        <w:tc>
          <w:tcPr>
            <w:tcW w:w="1795" w:type="dxa"/>
            <w:vAlign w:val="bottom"/>
          </w:tcPr>
          <w:p w:rsidR="008E39BB" w:rsidRDefault="008E39BB" w:rsidP="008E39BB">
            <w:pPr>
              <w:jc w:val="center"/>
              <w:rPr>
                <w:color w:val="000000"/>
                <w:sz w:val="20"/>
                <w:szCs w:val="20"/>
              </w:rPr>
            </w:pPr>
            <w:r>
              <w:rPr>
                <w:color w:val="000000"/>
                <w:sz w:val="20"/>
                <w:szCs w:val="20"/>
              </w:rPr>
              <w:t>91.4%</w:t>
            </w:r>
          </w:p>
        </w:tc>
        <w:tc>
          <w:tcPr>
            <w:tcW w:w="1795" w:type="dxa"/>
            <w:vAlign w:val="bottom"/>
          </w:tcPr>
          <w:p w:rsidR="008E39BB" w:rsidRDefault="008E39BB" w:rsidP="008E39BB">
            <w:pPr>
              <w:jc w:val="center"/>
              <w:rPr>
                <w:color w:val="000000"/>
                <w:sz w:val="20"/>
                <w:szCs w:val="20"/>
              </w:rPr>
            </w:pPr>
            <w:r>
              <w:rPr>
                <w:color w:val="000000"/>
                <w:sz w:val="20"/>
                <w:szCs w:val="20"/>
              </w:rPr>
              <w:t>66.5%</w:t>
            </w:r>
          </w:p>
        </w:tc>
        <w:tc>
          <w:tcPr>
            <w:tcW w:w="1796" w:type="dxa"/>
            <w:vAlign w:val="bottom"/>
          </w:tcPr>
          <w:p w:rsidR="008E39BB" w:rsidRDefault="008E39BB" w:rsidP="008E39BB">
            <w:pPr>
              <w:jc w:val="center"/>
              <w:rPr>
                <w:color w:val="000000"/>
                <w:sz w:val="20"/>
                <w:szCs w:val="20"/>
              </w:rPr>
            </w:pPr>
            <w:r>
              <w:rPr>
                <w:color w:val="000000"/>
                <w:sz w:val="20"/>
                <w:szCs w:val="20"/>
              </w:rPr>
              <w:t>39.5%</w:t>
            </w:r>
          </w:p>
        </w:tc>
        <w:tc>
          <w:tcPr>
            <w:tcW w:w="1696" w:type="dxa"/>
            <w:vAlign w:val="bottom"/>
          </w:tcPr>
          <w:p w:rsidR="008E39BB" w:rsidRDefault="008E39BB" w:rsidP="008E39BB">
            <w:pPr>
              <w:jc w:val="center"/>
              <w:rPr>
                <w:color w:val="000000"/>
                <w:sz w:val="20"/>
                <w:szCs w:val="20"/>
              </w:rPr>
            </w:pPr>
            <w:r>
              <w:rPr>
                <w:color w:val="000000"/>
                <w:sz w:val="20"/>
                <w:szCs w:val="20"/>
              </w:rPr>
              <w:t>22.2%</w:t>
            </w:r>
          </w:p>
        </w:tc>
      </w:tr>
    </w:tbl>
    <w:p w:rsidR="008E39BB" w:rsidRDefault="008E39BB" w:rsidP="008E39BB">
      <w:pPr>
        <w:widowControl w:val="0"/>
        <w:rPr>
          <w:sz w:val="20"/>
          <w:szCs w:val="20"/>
        </w:rPr>
      </w:pPr>
    </w:p>
    <w:p w:rsidR="008E39BB" w:rsidRDefault="008E39BB" w:rsidP="008E39BB">
      <w:pPr>
        <w:widowControl w:val="0"/>
        <w:rPr>
          <w:sz w:val="20"/>
          <w:szCs w:val="20"/>
        </w:rPr>
      </w:pPr>
    </w:p>
    <w:p w:rsidR="008E39BB" w:rsidRDefault="008E39BB" w:rsidP="008E39BB">
      <w:pPr>
        <w:widowControl w:val="0"/>
        <w:rPr>
          <w:sz w:val="20"/>
          <w:szCs w:val="20"/>
        </w:rPr>
        <w:sectPr w:rsidR="008E39BB" w:rsidSect="00074377">
          <w:pgSz w:w="12240" w:h="15840"/>
          <w:pgMar w:top="1440" w:right="1440" w:bottom="1440" w:left="1440" w:header="720" w:footer="720" w:gutter="0"/>
          <w:cols w:space="720"/>
          <w:docGrid w:linePitch="360"/>
        </w:sectPr>
      </w:pPr>
    </w:p>
    <w:p w:rsidR="008E39BB" w:rsidRDefault="008E39BB" w:rsidP="008E39BB">
      <w:pPr>
        <w:widowControl w:val="0"/>
        <w:rPr>
          <w:sz w:val="20"/>
          <w:szCs w:val="20"/>
        </w:rPr>
      </w:pPr>
    </w:p>
    <w:p w:rsidR="008E39BB" w:rsidRDefault="008E39BB" w:rsidP="008E39BB">
      <w:pPr>
        <w:widowControl w:val="0"/>
        <w:rPr>
          <w:sz w:val="20"/>
          <w:szCs w:val="20"/>
        </w:rPr>
      </w:pPr>
    </w:p>
    <w:p w:rsidR="008E39BB" w:rsidRDefault="008E39BB" w:rsidP="008E39BB">
      <w:pPr>
        <w:widowControl w:val="0"/>
        <w:rPr>
          <w:sz w:val="20"/>
          <w:szCs w:val="20"/>
        </w:rPr>
      </w:pPr>
    </w:p>
    <w:p w:rsidR="008E39BB" w:rsidRDefault="0067344F" w:rsidP="008E39BB">
      <w:pPr>
        <w:widowControl w:val="0"/>
        <w:jc w:val="center"/>
        <w:rPr>
          <w:b/>
          <w:sz w:val="20"/>
          <w:szCs w:val="20"/>
        </w:rPr>
      </w:pPr>
      <w:r>
        <w:rPr>
          <w:b/>
          <w:sz w:val="20"/>
          <w:szCs w:val="20"/>
        </w:rPr>
        <w:t xml:space="preserve">Table </w:t>
      </w:r>
      <w:r w:rsidR="00AA4744">
        <w:rPr>
          <w:b/>
          <w:sz w:val="20"/>
          <w:szCs w:val="20"/>
        </w:rPr>
        <w:t>IA.</w:t>
      </w:r>
      <w:r w:rsidR="00E84F3B">
        <w:rPr>
          <w:b/>
          <w:sz w:val="20"/>
          <w:szCs w:val="20"/>
        </w:rPr>
        <w:t>V</w:t>
      </w:r>
    </w:p>
    <w:p w:rsidR="008E39BB" w:rsidRPr="0087153C" w:rsidRDefault="008E39BB" w:rsidP="008E39BB">
      <w:pPr>
        <w:widowControl w:val="0"/>
        <w:jc w:val="center"/>
        <w:rPr>
          <w:b/>
          <w:sz w:val="20"/>
          <w:szCs w:val="20"/>
        </w:rPr>
      </w:pPr>
    </w:p>
    <w:p w:rsidR="008E39BB" w:rsidRPr="0087153C" w:rsidRDefault="008E39BB" w:rsidP="008E39BB">
      <w:pPr>
        <w:widowControl w:val="0"/>
        <w:jc w:val="center"/>
        <w:rPr>
          <w:b/>
          <w:sz w:val="20"/>
          <w:szCs w:val="20"/>
        </w:rPr>
      </w:pPr>
      <w:r>
        <w:rPr>
          <w:b/>
          <w:sz w:val="20"/>
          <w:szCs w:val="20"/>
        </w:rPr>
        <w:t>Length of S</w:t>
      </w:r>
      <w:r w:rsidRPr="0087153C">
        <w:rPr>
          <w:b/>
          <w:sz w:val="20"/>
          <w:szCs w:val="20"/>
        </w:rPr>
        <w:t xml:space="preserve">table </w:t>
      </w:r>
      <w:r>
        <w:rPr>
          <w:b/>
          <w:sz w:val="20"/>
          <w:szCs w:val="20"/>
        </w:rPr>
        <w:t>Leverage R</w:t>
      </w:r>
      <w:r w:rsidRPr="0087153C">
        <w:rPr>
          <w:b/>
          <w:sz w:val="20"/>
          <w:szCs w:val="20"/>
        </w:rPr>
        <w:t>egimes</w:t>
      </w:r>
    </w:p>
    <w:p w:rsidR="008E39BB" w:rsidRDefault="008E39BB" w:rsidP="008E39BB">
      <w:pPr>
        <w:widowControl w:val="0"/>
        <w:rPr>
          <w:sz w:val="20"/>
          <w:szCs w:val="20"/>
        </w:rPr>
      </w:pPr>
    </w:p>
    <w:p w:rsidR="008E39BB" w:rsidRPr="00A362E7" w:rsidRDefault="008E39BB" w:rsidP="008E39BB">
      <w:pPr>
        <w:widowControl w:val="0"/>
        <w:rPr>
          <w:sz w:val="20"/>
          <w:szCs w:val="20"/>
        </w:rPr>
      </w:pPr>
      <w:r w:rsidRPr="00A362E7">
        <w:rPr>
          <w:sz w:val="20"/>
          <w:szCs w:val="20"/>
        </w:rPr>
        <w:t xml:space="preserve">The first row in each panel defines a stable leverage regime as one in which the firm’s </w:t>
      </w:r>
      <w:r w:rsidRPr="004B0160">
        <w:rPr>
          <w:i/>
          <w:sz w:val="20"/>
          <w:szCs w:val="20"/>
        </w:rPr>
        <w:t>Debt/Total Assets</w:t>
      </w:r>
      <w:r w:rsidRPr="00A362E7">
        <w:rPr>
          <w:sz w:val="20"/>
          <w:szCs w:val="20"/>
        </w:rPr>
        <w:t xml:space="preserve"> ratio continuously remains in a range of values that differ by no more than 0.050.  Each subsequent row in the same panel considers a successively broader (more lax) definition of a stable regime.  The second row in each panel defines a stable leverage regime as one in which the firm’s </w:t>
      </w:r>
      <w:r w:rsidRPr="004B0160">
        <w:rPr>
          <w:i/>
          <w:sz w:val="20"/>
          <w:szCs w:val="20"/>
        </w:rPr>
        <w:t>Debt/TA</w:t>
      </w:r>
      <w:r w:rsidRPr="00A362E7">
        <w:rPr>
          <w:sz w:val="20"/>
          <w:szCs w:val="20"/>
        </w:rPr>
        <w:t xml:space="preserve"> range continuously differs by no more than 0.100, while the third and fourth rows in each panel define stable leverage regimes as instances in which </w:t>
      </w:r>
      <w:r w:rsidRPr="004B0160">
        <w:rPr>
          <w:i/>
          <w:sz w:val="20"/>
          <w:szCs w:val="20"/>
        </w:rPr>
        <w:t>Debt/TA</w:t>
      </w:r>
      <w:r w:rsidRPr="00A362E7">
        <w:rPr>
          <w:sz w:val="20"/>
          <w:szCs w:val="20"/>
        </w:rPr>
        <w:t xml:space="preserve"> continuously remains within ranges that differ by no more than 0.150 and 0.200 respectively.  To generate the data in the table, we first take a given firm and identify its </w:t>
      </w:r>
      <w:r w:rsidRPr="00A362E7">
        <w:rPr>
          <w:i/>
          <w:sz w:val="20"/>
          <w:szCs w:val="20"/>
        </w:rPr>
        <w:t>longest</w:t>
      </w:r>
      <w:r w:rsidRPr="00A362E7">
        <w:rPr>
          <w:sz w:val="20"/>
          <w:szCs w:val="20"/>
        </w:rPr>
        <w:t xml:space="preserve"> stable leverage regime (based on each given </w:t>
      </w:r>
      <w:r w:rsidRPr="004B0160">
        <w:rPr>
          <w:i/>
          <w:sz w:val="20"/>
          <w:szCs w:val="20"/>
        </w:rPr>
        <w:t>Debt/TA</w:t>
      </w:r>
      <w:r w:rsidRPr="00A362E7">
        <w:rPr>
          <w:sz w:val="20"/>
          <w:szCs w:val="20"/>
        </w:rPr>
        <w:t xml:space="preserve"> range definition of a stable regime).  For exa</w:t>
      </w:r>
      <w:r>
        <w:rPr>
          <w:sz w:val="20"/>
          <w:szCs w:val="20"/>
        </w:rPr>
        <w:t xml:space="preserve">mple, to generate the data in </w:t>
      </w:r>
      <w:r w:rsidR="005938E1">
        <w:rPr>
          <w:sz w:val="20"/>
          <w:szCs w:val="20"/>
        </w:rPr>
        <w:t xml:space="preserve">the first </w:t>
      </w:r>
      <w:r>
        <w:rPr>
          <w:sz w:val="20"/>
          <w:szCs w:val="20"/>
        </w:rPr>
        <w:t xml:space="preserve">row </w:t>
      </w:r>
      <w:r w:rsidR="005938E1">
        <w:rPr>
          <w:sz w:val="20"/>
          <w:szCs w:val="20"/>
        </w:rPr>
        <w:t>of Panel A</w:t>
      </w:r>
      <w:r w:rsidRPr="00A362E7">
        <w:rPr>
          <w:sz w:val="20"/>
          <w:szCs w:val="20"/>
        </w:rPr>
        <w:t xml:space="preserve">, we take a firm that has been listed at least 20 years and calculate the longest number of consecutive years that its </w:t>
      </w:r>
      <w:r w:rsidRPr="004B0160">
        <w:rPr>
          <w:i/>
          <w:sz w:val="20"/>
          <w:szCs w:val="20"/>
        </w:rPr>
        <w:t>Debt/TA</w:t>
      </w:r>
      <w:r w:rsidRPr="00A362E7">
        <w:rPr>
          <w:sz w:val="20"/>
          <w:szCs w:val="20"/>
        </w:rPr>
        <w:t xml:space="preserve"> ratio remained within a range of values that differ by no more than 0.050.  We repeat this process for all firms in the sample, and report t</w:t>
      </w:r>
      <w:r>
        <w:rPr>
          <w:sz w:val="20"/>
          <w:szCs w:val="20"/>
        </w:rPr>
        <w:t xml:space="preserve">he resulting histogram in </w:t>
      </w:r>
      <w:r w:rsidR="005938E1">
        <w:rPr>
          <w:sz w:val="20"/>
          <w:szCs w:val="20"/>
        </w:rPr>
        <w:t xml:space="preserve">this </w:t>
      </w:r>
      <w:r>
        <w:rPr>
          <w:sz w:val="20"/>
          <w:szCs w:val="20"/>
        </w:rPr>
        <w:t xml:space="preserve">row, </w:t>
      </w:r>
      <w:r w:rsidRPr="00A362E7">
        <w:rPr>
          <w:sz w:val="20"/>
          <w:szCs w:val="20"/>
        </w:rPr>
        <w:t>with the sample media</w:t>
      </w:r>
      <w:r>
        <w:rPr>
          <w:sz w:val="20"/>
          <w:szCs w:val="20"/>
        </w:rPr>
        <w:t>n given in the far-right column</w:t>
      </w:r>
      <w:r w:rsidRPr="00A362E7">
        <w:rPr>
          <w:sz w:val="20"/>
          <w:szCs w:val="20"/>
        </w:rPr>
        <w:t>.  T</w:t>
      </w:r>
      <w:r>
        <w:rPr>
          <w:sz w:val="20"/>
          <w:szCs w:val="20"/>
        </w:rPr>
        <w:t>o generate the numbers in</w:t>
      </w:r>
      <w:r w:rsidR="005938E1">
        <w:rPr>
          <w:sz w:val="20"/>
          <w:szCs w:val="20"/>
        </w:rPr>
        <w:t xml:space="preserve"> the second</w:t>
      </w:r>
      <w:r>
        <w:rPr>
          <w:sz w:val="20"/>
          <w:szCs w:val="20"/>
        </w:rPr>
        <w:t xml:space="preserve"> row </w:t>
      </w:r>
      <w:r w:rsidR="005938E1">
        <w:rPr>
          <w:sz w:val="20"/>
          <w:szCs w:val="20"/>
        </w:rPr>
        <w:t>of Panel A</w:t>
      </w:r>
      <w:r w:rsidRPr="00A362E7">
        <w:rPr>
          <w:sz w:val="20"/>
          <w:szCs w:val="20"/>
        </w:rPr>
        <w:t>, we follow the same procedure but now use 0.100 in place of 0.050 to identify stab</w:t>
      </w:r>
      <w:r>
        <w:rPr>
          <w:sz w:val="20"/>
          <w:szCs w:val="20"/>
        </w:rPr>
        <w:t xml:space="preserve">le leverage regimes.  We repeat this process </w:t>
      </w:r>
      <w:r w:rsidRPr="00A362E7">
        <w:rPr>
          <w:sz w:val="20"/>
          <w:szCs w:val="20"/>
        </w:rPr>
        <w:t xml:space="preserve">for each remaining row.  Since some firms in the </w:t>
      </w:r>
      <w:r w:rsidR="005938E1">
        <w:rPr>
          <w:sz w:val="20"/>
          <w:szCs w:val="20"/>
        </w:rPr>
        <w:t>P</w:t>
      </w:r>
      <w:r w:rsidRPr="00A362E7">
        <w:rPr>
          <w:sz w:val="20"/>
          <w:szCs w:val="20"/>
        </w:rPr>
        <w:t xml:space="preserve">anel A sample are listed less than </w:t>
      </w:r>
      <w:r>
        <w:rPr>
          <w:sz w:val="20"/>
          <w:szCs w:val="20"/>
        </w:rPr>
        <w:t xml:space="preserve">the </w:t>
      </w:r>
      <w:r w:rsidRPr="00A362E7">
        <w:rPr>
          <w:sz w:val="20"/>
          <w:szCs w:val="20"/>
        </w:rPr>
        <w:t>number of years specified in the column headers, some table entries are specified “n.m.” (not meaningful).</w:t>
      </w:r>
    </w:p>
    <w:p w:rsidR="008E39BB" w:rsidRDefault="008E39BB" w:rsidP="008E39BB">
      <w:pPr>
        <w:widowControl w:val="0"/>
        <w:jc w:val="left"/>
        <w:rPr>
          <w:sz w:val="20"/>
          <w:szCs w:val="20"/>
        </w:rPr>
      </w:pPr>
    </w:p>
    <w:tbl>
      <w:tblPr>
        <w:tblStyle w:val="TableGrid"/>
        <w:tblW w:w="12960" w:type="dxa"/>
        <w:jc w:val="center"/>
        <w:tblLayout w:type="fixed"/>
        <w:tblLook w:val="04A0"/>
      </w:tblPr>
      <w:tblGrid>
        <w:gridCol w:w="4121"/>
        <w:gridCol w:w="1659"/>
        <w:gridCol w:w="1659"/>
        <w:gridCol w:w="1659"/>
        <w:gridCol w:w="1659"/>
        <w:gridCol w:w="2203"/>
      </w:tblGrid>
      <w:tr w:rsidR="008E39BB" w:rsidTr="00DE2A70">
        <w:trPr>
          <w:jc w:val="center"/>
        </w:trPr>
        <w:tc>
          <w:tcPr>
            <w:tcW w:w="4121" w:type="dxa"/>
            <w:tcBorders>
              <w:top w:val="single" w:sz="4" w:space="0" w:color="auto"/>
              <w:left w:val="nil"/>
              <w:bottom w:val="nil"/>
              <w:right w:val="nil"/>
            </w:tcBorders>
            <w:vAlign w:val="center"/>
          </w:tcPr>
          <w:p w:rsidR="008E39BB" w:rsidRDefault="008E39BB" w:rsidP="008E39BB">
            <w:pPr>
              <w:widowControl w:val="0"/>
              <w:jc w:val="center"/>
              <w:rPr>
                <w:sz w:val="20"/>
                <w:szCs w:val="20"/>
              </w:rPr>
            </w:pPr>
          </w:p>
        </w:tc>
        <w:tc>
          <w:tcPr>
            <w:tcW w:w="6636" w:type="dxa"/>
            <w:gridSpan w:val="4"/>
            <w:tcBorders>
              <w:top w:val="single" w:sz="4" w:space="0" w:color="auto"/>
              <w:left w:val="nil"/>
              <w:bottom w:val="single" w:sz="4" w:space="0" w:color="auto"/>
              <w:right w:val="nil"/>
            </w:tcBorders>
            <w:vAlign w:val="center"/>
          </w:tcPr>
          <w:p w:rsidR="008E39BB" w:rsidRDefault="004B0160" w:rsidP="008E39BB">
            <w:pPr>
              <w:widowControl w:val="0"/>
              <w:jc w:val="center"/>
              <w:rPr>
                <w:sz w:val="20"/>
                <w:szCs w:val="20"/>
              </w:rPr>
            </w:pPr>
            <w:r>
              <w:rPr>
                <w:sz w:val="20"/>
                <w:szCs w:val="20"/>
              </w:rPr>
              <w:t xml:space="preserve">% </w:t>
            </w:r>
            <w:r w:rsidR="008E39BB">
              <w:rPr>
                <w:sz w:val="20"/>
                <w:szCs w:val="20"/>
              </w:rPr>
              <w:t xml:space="preserve">of firms with </w:t>
            </w:r>
            <w:r w:rsidR="008E39BB" w:rsidRPr="003350F0">
              <w:rPr>
                <w:i/>
                <w:sz w:val="20"/>
                <w:szCs w:val="20"/>
              </w:rPr>
              <w:t>Debt/TA</w:t>
            </w:r>
            <w:r w:rsidR="008E39BB">
              <w:rPr>
                <w:sz w:val="20"/>
                <w:szCs w:val="20"/>
              </w:rPr>
              <w:t xml:space="preserve"> continuously in specified range for at least:</w:t>
            </w:r>
          </w:p>
        </w:tc>
        <w:tc>
          <w:tcPr>
            <w:tcW w:w="2203" w:type="dxa"/>
            <w:vMerge w:val="restart"/>
            <w:tcBorders>
              <w:top w:val="single" w:sz="4" w:space="0" w:color="auto"/>
              <w:left w:val="nil"/>
              <w:right w:val="nil"/>
            </w:tcBorders>
            <w:vAlign w:val="center"/>
          </w:tcPr>
          <w:p w:rsidR="008E39BB" w:rsidRDefault="008E39BB" w:rsidP="008E39BB">
            <w:pPr>
              <w:widowControl w:val="0"/>
              <w:jc w:val="center"/>
              <w:rPr>
                <w:sz w:val="20"/>
                <w:szCs w:val="20"/>
              </w:rPr>
            </w:pPr>
            <w:r>
              <w:rPr>
                <w:sz w:val="20"/>
                <w:szCs w:val="20"/>
              </w:rPr>
              <w:t>Median # of years of longest stable regime</w:t>
            </w:r>
          </w:p>
        </w:tc>
      </w:tr>
      <w:tr w:rsidR="008E39BB" w:rsidTr="00DE2A70">
        <w:trPr>
          <w:jc w:val="center"/>
        </w:trPr>
        <w:tc>
          <w:tcPr>
            <w:tcW w:w="4121" w:type="dxa"/>
            <w:tcBorders>
              <w:top w:val="nil"/>
              <w:left w:val="nil"/>
              <w:bottom w:val="single" w:sz="4" w:space="0" w:color="auto"/>
              <w:right w:val="nil"/>
            </w:tcBorders>
            <w:vAlign w:val="center"/>
          </w:tcPr>
          <w:p w:rsidR="008E39BB" w:rsidRDefault="008E39BB" w:rsidP="008E39BB">
            <w:pPr>
              <w:widowControl w:val="0"/>
              <w:jc w:val="left"/>
              <w:rPr>
                <w:sz w:val="20"/>
                <w:szCs w:val="20"/>
              </w:rPr>
            </w:pPr>
          </w:p>
        </w:tc>
        <w:tc>
          <w:tcPr>
            <w:tcW w:w="1659" w:type="dxa"/>
            <w:tcBorders>
              <w:top w:val="single" w:sz="4" w:space="0" w:color="auto"/>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10 years</w:t>
            </w:r>
          </w:p>
        </w:tc>
        <w:tc>
          <w:tcPr>
            <w:tcW w:w="1659" w:type="dxa"/>
            <w:tcBorders>
              <w:top w:val="single" w:sz="4" w:space="0" w:color="auto"/>
              <w:left w:val="nil"/>
              <w:bottom w:val="single" w:sz="4" w:space="0" w:color="auto"/>
              <w:right w:val="nil"/>
            </w:tcBorders>
          </w:tcPr>
          <w:p w:rsidR="008E39BB" w:rsidRDefault="008E39BB" w:rsidP="008E39BB">
            <w:pPr>
              <w:widowControl w:val="0"/>
              <w:jc w:val="center"/>
              <w:rPr>
                <w:sz w:val="20"/>
                <w:szCs w:val="20"/>
              </w:rPr>
            </w:pPr>
            <w:r>
              <w:rPr>
                <w:sz w:val="20"/>
                <w:szCs w:val="20"/>
              </w:rPr>
              <w:t>20 years</w:t>
            </w:r>
          </w:p>
        </w:tc>
        <w:tc>
          <w:tcPr>
            <w:tcW w:w="1659" w:type="dxa"/>
            <w:tcBorders>
              <w:top w:val="single" w:sz="4" w:space="0" w:color="auto"/>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30 years</w:t>
            </w:r>
          </w:p>
        </w:tc>
        <w:tc>
          <w:tcPr>
            <w:tcW w:w="1659" w:type="dxa"/>
            <w:tcBorders>
              <w:top w:val="single" w:sz="4" w:space="0" w:color="auto"/>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40 years</w:t>
            </w:r>
          </w:p>
        </w:tc>
        <w:tc>
          <w:tcPr>
            <w:tcW w:w="2203" w:type="dxa"/>
            <w:vMerge/>
            <w:tcBorders>
              <w:left w:val="nil"/>
              <w:bottom w:val="single" w:sz="4" w:space="0" w:color="auto"/>
              <w:right w:val="nil"/>
            </w:tcBorders>
            <w:vAlign w:val="center"/>
          </w:tcPr>
          <w:p w:rsidR="008E39BB" w:rsidRDefault="008E39BB" w:rsidP="008E39BB">
            <w:pPr>
              <w:widowControl w:val="0"/>
              <w:jc w:val="center"/>
              <w:rPr>
                <w:sz w:val="20"/>
                <w:szCs w:val="20"/>
              </w:rPr>
            </w:pPr>
          </w:p>
        </w:tc>
      </w:tr>
      <w:tr w:rsidR="00520810" w:rsidTr="00DE2A70">
        <w:trPr>
          <w:jc w:val="center"/>
        </w:trPr>
        <w:tc>
          <w:tcPr>
            <w:tcW w:w="12960" w:type="dxa"/>
            <w:gridSpan w:val="6"/>
            <w:tcBorders>
              <w:top w:val="single" w:sz="4" w:space="0" w:color="auto"/>
              <w:left w:val="nil"/>
              <w:bottom w:val="single" w:sz="4" w:space="0" w:color="auto"/>
              <w:right w:val="nil"/>
            </w:tcBorders>
            <w:vAlign w:val="center"/>
          </w:tcPr>
          <w:p w:rsidR="00520810" w:rsidRDefault="00520810" w:rsidP="008E39BB">
            <w:pPr>
              <w:widowControl w:val="0"/>
              <w:jc w:val="center"/>
              <w:rPr>
                <w:sz w:val="20"/>
                <w:szCs w:val="20"/>
              </w:rPr>
            </w:pPr>
            <w:r w:rsidRPr="00520810">
              <w:rPr>
                <w:sz w:val="20"/>
                <w:szCs w:val="20"/>
              </w:rPr>
              <w:t>Panel A. Firms listed at least 20 years</w:t>
            </w:r>
          </w:p>
        </w:tc>
      </w:tr>
      <w:tr w:rsidR="008E39BB" w:rsidTr="00DE2A70">
        <w:trPr>
          <w:jc w:val="center"/>
        </w:trPr>
        <w:tc>
          <w:tcPr>
            <w:tcW w:w="4121" w:type="dxa"/>
            <w:tcBorders>
              <w:top w:val="single" w:sz="4" w:space="0" w:color="auto"/>
              <w:left w:val="nil"/>
              <w:bottom w:val="nil"/>
              <w:right w:val="nil"/>
            </w:tcBorders>
            <w:vAlign w:val="center"/>
          </w:tcPr>
          <w:p w:rsidR="008E39BB" w:rsidRDefault="008E39BB" w:rsidP="00D64323">
            <w:pPr>
              <w:widowControl w:val="0"/>
              <w:jc w:val="center"/>
              <w:rPr>
                <w:sz w:val="20"/>
                <w:szCs w:val="20"/>
              </w:rPr>
            </w:pPr>
            <w:r w:rsidRPr="003350F0">
              <w:rPr>
                <w:i/>
                <w:sz w:val="20"/>
                <w:szCs w:val="20"/>
              </w:rPr>
              <w:t>Debt/TA</w:t>
            </w:r>
            <w:r>
              <w:rPr>
                <w:sz w:val="20"/>
                <w:szCs w:val="20"/>
              </w:rPr>
              <w:t xml:space="preserve"> range </w:t>
            </w:r>
            <w:r>
              <w:rPr>
                <w:rFonts w:cs="Times New Roman"/>
                <w:sz w:val="20"/>
                <w:szCs w:val="20"/>
              </w:rPr>
              <w:t>≤</w:t>
            </w:r>
            <w:r>
              <w:rPr>
                <w:sz w:val="20"/>
                <w:szCs w:val="20"/>
              </w:rPr>
              <w:t xml:space="preserve"> 0.050</w:t>
            </w:r>
          </w:p>
        </w:tc>
        <w:tc>
          <w:tcPr>
            <w:tcW w:w="1659"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21.3%</w:t>
            </w:r>
          </w:p>
        </w:tc>
        <w:tc>
          <w:tcPr>
            <w:tcW w:w="1659" w:type="dxa"/>
            <w:tcBorders>
              <w:top w:val="single" w:sz="4" w:space="0" w:color="auto"/>
              <w:left w:val="nil"/>
              <w:bottom w:val="nil"/>
              <w:right w:val="nil"/>
            </w:tcBorders>
          </w:tcPr>
          <w:p w:rsidR="008E39BB" w:rsidRDefault="008E39BB" w:rsidP="008E39BB">
            <w:pPr>
              <w:widowControl w:val="0"/>
              <w:jc w:val="center"/>
              <w:rPr>
                <w:sz w:val="20"/>
                <w:szCs w:val="20"/>
              </w:rPr>
            </w:pPr>
            <w:r>
              <w:rPr>
                <w:sz w:val="20"/>
                <w:szCs w:val="20"/>
              </w:rPr>
              <w:t>4.2%</w:t>
            </w:r>
          </w:p>
        </w:tc>
        <w:tc>
          <w:tcPr>
            <w:tcW w:w="1659"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n.m.</w:t>
            </w:r>
          </w:p>
        </w:tc>
        <w:tc>
          <w:tcPr>
            <w:tcW w:w="1659"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n.m.</w:t>
            </w:r>
          </w:p>
        </w:tc>
        <w:tc>
          <w:tcPr>
            <w:tcW w:w="2203"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6.0</w:t>
            </w:r>
          </w:p>
        </w:tc>
      </w:tr>
      <w:tr w:rsidR="008E39BB" w:rsidTr="008E39BB">
        <w:trPr>
          <w:jc w:val="center"/>
        </w:trPr>
        <w:tc>
          <w:tcPr>
            <w:tcW w:w="4121" w:type="dxa"/>
            <w:tcBorders>
              <w:top w:val="nil"/>
              <w:left w:val="nil"/>
              <w:bottom w:val="nil"/>
              <w:right w:val="nil"/>
            </w:tcBorders>
            <w:vAlign w:val="center"/>
          </w:tcPr>
          <w:p w:rsidR="008E39BB" w:rsidRDefault="008E39BB" w:rsidP="00D64323">
            <w:pPr>
              <w:widowControl w:val="0"/>
              <w:jc w:val="center"/>
              <w:rPr>
                <w:sz w:val="20"/>
                <w:szCs w:val="20"/>
              </w:rPr>
            </w:pPr>
            <w:r w:rsidRPr="003350F0">
              <w:rPr>
                <w:i/>
                <w:sz w:val="20"/>
                <w:szCs w:val="20"/>
              </w:rPr>
              <w:t>Debt/TA</w:t>
            </w:r>
            <w:r>
              <w:rPr>
                <w:sz w:val="20"/>
                <w:szCs w:val="20"/>
              </w:rPr>
              <w:t xml:space="preserve"> range </w:t>
            </w:r>
            <w:r>
              <w:rPr>
                <w:rFonts w:cs="Times New Roman"/>
                <w:sz w:val="20"/>
                <w:szCs w:val="20"/>
              </w:rPr>
              <w:t>≤</w:t>
            </w:r>
            <w:r>
              <w:rPr>
                <w:sz w:val="20"/>
                <w:szCs w:val="20"/>
              </w:rPr>
              <w:t xml:space="preserve"> 0.100</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50.3%</w:t>
            </w:r>
          </w:p>
        </w:tc>
        <w:tc>
          <w:tcPr>
            <w:tcW w:w="1659" w:type="dxa"/>
            <w:tcBorders>
              <w:top w:val="nil"/>
              <w:left w:val="nil"/>
              <w:bottom w:val="nil"/>
              <w:right w:val="nil"/>
            </w:tcBorders>
          </w:tcPr>
          <w:p w:rsidR="008E39BB" w:rsidRDefault="008E39BB" w:rsidP="008E39BB">
            <w:pPr>
              <w:widowControl w:val="0"/>
              <w:jc w:val="center"/>
              <w:rPr>
                <w:sz w:val="20"/>
                <w:szCs w:val="20"/>
              </w:rPr>
            </w:pPr>
            <w:r>
              <w:rPr>
                <w:sz w:val="20"/>
                <w:szCs w:val="20"/>
              </w:rPr>
              <w:t>9.9%</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n.m.</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n.m.</w:t>
            </w:r>
          </w:p>
        </w:tc>
        <w:tc>
          <w:tcPr>
            <w:tcW w:w="2203"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10.0</w:t>
            </w:r>
          </w:p>
        </w:tc>
      </w:tr>
      <w:tr w:rsidR="008E39BB" w:rsidTr="008E39BB">
        <w:trPr>
          <w:jc w:val="center"/>
        </w:trPr>
        <w:tc>
          <w:tcPr>
            <w:tcW w:w="4121" w:type="dxa"/>
            <w:tcBorders>
              <w:top w:val="nil"/>
              <w:left w:val="nil"/>
              <w:bottom w:val="nil"/>
              <w:right w:val="nil"/>
            </w:tcBorders>
            <w:vAlign w:val="center"/>
          </w:tcPr>
          <w:p w:rsidR="008E39BB" w:rsidRDefault="008E39BB" w:rsidP="00D64323">
            <w:pPr>
              <w:widowControl w:val="0"/>
              <w:jc w:val="center"/>
              <w:rPr>
                <w:sz w:val="20"/>
                <w:szCs w:val="20"/>
              </w:rPr>
            </w:pPr>
            <w:r w:rsidRPr="003350F0">
              <w:rPr>
                <w:i/>
                <w:sz w:val="20"/>
                <w:szCs w:val="20"/>
              </w:rPr>
              <w:t>Debt/TA</w:t>
            </w:r>
            <w:r>
              <w:rPr>
                <w:sz w:val="20"/>
                <w:szCs w:val="20"/>
              </w:rPr>
              <w:t xml:space="preserve"> range </w:t>
            </w:r>
            <w:r>
              <w:rPr>
                <w:rFonts w:cs="Times New Roman"/>
                <w:sz w:val="20"/>
                <w:szCs w:val="20"/>
              </w:rPr>
              <w:t>≤</w:t>
            </w:r>
            <w:r>
              <w:rPr>
                <w:sz w:val="20"/>
                <w:szCs w:val="20"/>
              </w:rPr>
              <w:t xml:space="preserve"> 0.150</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73.6%</w:t>
            </w:r>
          </w:p>
        </w:tc>
        <w:tc>
          <w:tcPr>
            <w:tcW w:w="1659" w:type="dxa"/>
            <w:tcBorders>
              <w:top w:val="nil"/>
              <w:left w:val="nil"/>
              <w:bottom w:val="nil"/>
              <w:right w:val="nil"/>
            </w:tcBorders>
          </w:tcPr>
          <w:p w:rsidR="008E39BB" w:rsidRDefault="008E39BB" w:rsidP="008E39BB">
            <w:pPr>
              <w:widowControl w:val="0"/>
              <w:jc w:val="center"/>
              <w:rPr>
                <w:sz w:val="20"/>
                <w:szCs w:val="20"/>
              </w:rPr>
            </w:pPr>
            <w:r>
              <w:rPr>
                <w:sz w:val="20"/>
                <w:szCs w:val="20"/>
              </w:rPr>
              <w:t>22.4%</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n.m.</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n.m.</w:t>
            </w:r>
          </w:p>
        </w:tc>
        <w:tc>
          <w:tcPr>
            <w:tcW w:w="2203"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13.0</w:t>
            </w:r>
          </w:p>
        </w:tc>
      </w:tr>
      <w:tr w:rsidR="008E39BB" w:rsidTr="00DE2A70">
        <w:trPr>
          <w:jc w:val="center"/>
        </w:trPr>
        <w:tc>
          <w:tcPr>
            <w:tcW w:w="4121" w:type="dxa"/>
            <w:tcBorders>
              <w:top w:val="nil"/>
              <w:left w:val="nil"/>
              <w:bottom w:val="single" w:sz="4" w:space="0" w:color="auto"/>
              <w:right w:val="nil"/>
            </w:tcBorders>
            <w:vAlign w:val="center"/>
          </w:tcPr>
          <w:p w:rsidR="008E39BB" w:rsidRDefault="008E39BB" w:rsidP="00D64323">
            <w:pPr>
              <w:widowControl w:val="0"/>
              <w:jc w:val="center"/>
              <w:rPr>
                <w:sz w:val="20"/>
                <w:szCs w:val="20"/>
              </w:rPr>
            </w:pPr>
            <w:r w:rsidRPr="003350F0">
              <w:rPr>
                <w:i/>
                <w:sz w:val="20"/>
                <w:szCs w:val="20"/>
              </w:rPr>
              <w:t>Debt/TA</w:t>
            </w:r>
            <w:r>
              <w:rPr>
                <w:sz w:val="20"/>
                <w:szCs w:val="20"/>
              </w:rPr>
              <w:t xml:space="preserve"> range </w:t>
            </w:r>
            <w:r>
              <w:rPr>
                <w:rFonts w:cs="Times New Roman"/>
                <w:sz w:val="20"/>
                <w:szCs w:val="20"/>
              </w:rPr>
              <w:t>≤</w:t>
            </w:r>
            <w:r>
              <w:rPr>
                <w:sz w:val="20"/>
                <w:szCs w:val="20"/>
              </w:rPr>
              <w:t xml:space="preserve"> 0.200</w:t>
            </w:r>
          </w:p>
        </w:tc>
        <w:tc>
          <w:tcPr>
            <w:tcW w:w="1659"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85.7%</w:t>
            </w:r>
          </w:p>
        </w:tc>
        <w:tc>
          <w:tcPr>
            <w:tcW w:w="1659" w:type="dxa"/>
            <w:tcBorders>
              <w:top w:val="nil"/>
              <w:left w:val="nil"/>
              <w:bottom w:val="single" w:sz="4" w:space="0" w:color="auto"/>
              <w:right w:val="nil"/>
            </w:tcBorders>
          </w:tcPr>
          <w:p w:rsidR="008E39BB" w:rsidRDefault="008E39BB" w:rsidP="008E39BB">
            <w:pPr>
              <w:widowControl w:val="0"/>
              <w:jc w:val="center"/>
              <w:rPr>
                <w:sz w:val="20"/>
                <w:szCs w:val="20"/>
              </w:rPr>
            </w:pPr>
            <w:r>
              <w:rPr>
                <w:sz w:val="20"/>
                <w:szCs w:val="20"/>
              </w:rPr>
              <w:t>36.9%</w:t>
            </w:r>
          </w:p>
        </w:tc>
        <w:tc>
          <w:tcPr>
            <w:tcW w:w="1659"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n.m.</w:t>
            </w:r>
          </w:p>
        </w:tc>
        <w:tc>
          <w:tcPr>
            <w:tcW w:w="1659"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n.m.</w:t>
            </w:r>
          </w:p>
        </w:tc>
        <w:tc>
          <w:tcPr>
            <w:tcW w:w="2203"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17.0</w:t>
            </w:r>
          </w:p>
        </w:tc>
      </w:tr>
      <w:tr w:rsidR="00520810" w:rsidTr="00DE2A70">
        <w:trPr>
          <w:jc w:val="center"/>
        </w:trPr>
        <w:tc>
          <w:tcPr>
            <w:tcW w:w="12960" w:type="dxa"/>
            <w:gridSpan w:val="6"/>
            <w:tcBorders>
              <w:top w:val="single" w:sz="4" w:space="0" w:color="auto"/>
              <w:left w:val="nil"/>
              <w:bottom w:val="single" w:sz="4" w:space="0" w:color="auto"/>
              <w:right w:val="nil"/>
            </w:tcBorders>
            <w:vAlign w:val="center"/>
          </w:tcPr>
          <w:p w:rsidR="00520810" w:rsidRDefault="00520810" w:rsidP="008E39BB">
            <w:pPr>
              <w:widowControl w:val="0"/>
              <w:jc w:val="center"/>
              <w:rPr>
                <w:sz w:val="20"/>
                <w:szCs w:val="20"/>
              </w:rPr>
            </w:pPr>
            <w:r>
              <w:rPr>
                <w:sz w:val="20"/>
                <w:szCs w:val="20"/>
              </w:rPr>
              <w:t>Panel B. Firms listed at least 40 years</w:t>
            </w:r>
          </w:p>
        </w:tc>
      </w:tr>
      <w:tr w:rsidR="008E39BB" w:rsidTr="00DE2A70">
        <w:trPr>
          <w:jc w:val="center"/>
        </w:trPr>
        <w:tc>
          <w:tcPr>
            <w:tcW w:w="4121" w:type="dxa"/>
            <w:tcBorders>
              <w:top w:val="single" w:sz="4" w:space="0" w:color="auto"/>
              <w:left w:val="nil"/>
              <w:bottom w:val="nil"/>
              <w:right w:val="nil"/>
            </w:tcBorders>
            <w:vAlign w:val="center"/>
          </w:tcPr>
          <w:p w:rsidR="008E39BB" w:rsidRDefault="008E39BB" w:rsidP="00D64323">
            <w:pPr>
              <w:widowControl w:val="0"/>
              <w:jc w:val="center"/>
              <w:rPr>
                <w:sz w:val="20"/>
                <w:szCs w:val="20"/>
              </w:rPr>
            </w:pPr>
            <w:r w:rsidRPr="003350F0">
              <w:rPr>
                <w:i/>
                <w:sz w:val="20"/>
                <w:szCs w:val="20"/>
              </w:rPr>
              <w:t>Debt/TA</w:t>
            </w:r>
            <w:r>
              <w:rPr>
                <w:sz w:val="20"/>
                <w:szCs w:val="20"/>
              </w:rPr>
              <w:t xml:space="preserve"> range </w:t>
            </w:r>
            <w:r>
              <w:rPr>
                <w:rFonts w:cs="Times New Roman"/>
                <w:sz w:val="20"/>
                <w:szCs w:val="20"/>
              </w:rPr>
              <w:t>≤</w:t>
            </w:r>
            <w:r>
              <w:rPr>
                <w:sz w:val="20"/>
                <w:szCs w:val="20"/>
              </w:rPr>
              <w:t xml:space="preserve"> 0.050</w:t>
            </w:r>
          </w:p>
        </w:tc>
        <w:tc>
          <w:tcPr>
            <w:tcW w:w="1659"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32.0%</w:t>
            </w:r>
          </w:p>
        </w:tc>
        <w:tc>
          <w:tcPr>
            <w:tcW w:w="1659" w:type="dxa"/>
            <w:tcBorders>
              <w:top w:val="single" w:sz="4" w:space="0" w:color="auto"/>
              <w:left w:val="nil"/>
              <w:bottom w:val="nil"/>
              <w:right w:val="nil"/>
            </w:tcBorders>
          </w:tcPr>
          <w:p w:rsidR="008E39BB" w:rsidRDefault="008E39BB" w:rsidP="008E39BB">
            <w:pPr>
              <w:widowControl w:val="0"/>
              <w:jc w:val="center"/>
              <w:rPr>
                <w:sz w:val="20"/>
                <w:szCs w:val="20"/>
              </w:rPr>
            </w:pPr>
            <w:r>
              <w:rPr>
                <w:sz w:val="20"/>
                <w:szCs w:val="20"/>
              </w:rPr>
              <w:t>6.6%</w:t>
            </w:r>
          </w:p>
        </w:tc>
        <w:tc>
          <w:tcPr>
            <w:tcW w:w="1659"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2.6%</w:t>
            </w:r>
          </w:p>
        </w:tc>
        <w:tc>
          <w:tcPr>
            <w:tcW w:w="1659"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0.7%</w:t>
            </w:r>
          </w:p>
        </w:tc>
        <w:tc>
          <w:tcPr>
            <w:tcW w:w="2203"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8.0</w:t>
            </w:r>
          </w:p>
        </w:tc>
      </w:tr>
      <w:tr w:rsidR="008E39BB" w:rsidTr="008E39BB">
        <w:trPr>
          <w:jc w:val="center"/>
        </w:trPr>
        <w:tc>
          <w:tcPr>
            <w:tcW w:w="4121" w:type="dxa"/>
            <w:tcBorders>
              <w:top w:val="nil"/>
              <w:left w:val="nil"/>
              <w:bottom w:val="nil"/>
              <w:right w:val="nil"/>
            </w:tcBorders>
            <w:vAlign w:val="center"/>
          </w:tcPr>
          <w:p w:rsidR="008E39BB" w:rsidRDefault="008E39BB" w:rsidP="00D64323">
            <w:pPr>
              <w:widowControl w:val="0"/>
              <w:jc w:val="center"/>
              <w:rPr>
                <w:sz w:val="20"/>
                <w:szCs w:val="20"/>
              </w:rPr>
            </w:pPr>
            <w:r w:rsidRPr="003350F0">
              <w:rPr>
                <w:i/>
                <w:sz w:val="20"/>
                <w:szCs w:val="20"/>
              </w:rPr>
              <w:t>Debt/TA</w:t>
            </w:r>
            <w:r>
              <w:rPr>
                <w:sz w:val="20"/>
                <w:szCs w:val="20"/>
              </w:rPr>
              <w:t xml:space="preserve"> range </w:t>
            </w:r>
            <w:r>
              <w:rPr>
                <w:rFonts w:cs="Times New Roman"/>
                <w:sz w:val="20"/>
                <w:szCs w:val="20"/>
              </w:rPr>
              <w:t>≤</w:t>
            </w:r>
            <w:r>
              <w:rPr>
                <w:sz w:val="20"/>
                <w:szCs w:val="20"/>
              </w:rPr>
              <w:t xml:space="preserve"> 0.100</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75.4%</w:t>
            </w:r>
          </w:p>
        </w:tc>
        <w:tc>
          <w:tcPr>
            <w:tcW w:w="1659" w:type="dxa"/>
            <w:tcBorders>
              <w:top w:val="nil"/>
              <w:left w:val="nil"/>
              <w:bottom w:val="nil"/>
              <w:right w:val="nil"/>
            </w:tcBorders>
          </w:tcPr>
          <w:p w:rsidR="008E39BB" w:rsidRDefault="008E39BB" w:rsidP="008E39BB">
            <w:pPr>
              <w:widowControl w:val="0"/>
              <w:jc w:val="center"/>
              <w:rPr>
                <w:sz w:val="20"/>
                <w:szCs w:val="20"/>
              </w:rPr>
            </w:pPr>
            <w:r>
              <w:rPr>
                <w:sz w:val="20"/>
                <w:szCs w:val="20"/>
              </w:rPr>
              <w:t>20.2%</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5.9%</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1.6%</w:t>
            </w:r>
          </w:p>
        </w:tc>
        <w:tc>
          <w:tcPr>
            <w:tcW w:w="2203"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13.0</w:t>
            </w:r>
          </w:p>
        </w:tc>
      </w:tr>
      <w:tr w:rsidR="008E39BB" w:rsidTr="008E39BB">
        <w:trPr>
          <w:jc w:val="center"/>
        </w:trPr>
        <w:tc>
          <w:tcPr>
            <w:tcW w:w="4121" w:type="dxa"/>
            <w:tcBorders>
              <w:top w:val="nil"/>
              <w:left w:val="nil"/>
              <w:bottom w:val="nil"/>
              <w:right w:val="nil"/>
            </w:tcBorders>
            <w:vAlign w:val="center"/>
          </w:tcPr>
          <w:p w:rsidR="008E39BB" w:rsidRDefault="008E39BB" w:rsidP="00D64323">
            <w:pPr>
              <w:widowControl w:val="0"/>
              <w:jc w:val="center"/>
              <w:rPr>
                <w:sz w:val="20"/>
                <w:szCs w:val="20"/>
              </w:rPr>
            </w:pPr>
            <w:r w:rsidRPr="003350F0">
              <w:rPr>
                <w:i/>
                <w:sz w:val="20"/>
                <w:szCs w:val="20"/>
              </w:rPr>
              <w:t>Debt/TA</w:t>
            </w:r>
            <w:r>
              <w:rPr>
                <w:sz w:val="20"/>
                <w:szCs w:val="20"/>
              </w:rPr>
              <w:t xml:space="preserve"> range </w:t>
            </w:r>
            <w:r>
              <w:rPr>
                <w:rFonts w:cs="Times New Roman"/>
                <w:sz w:val="20"/>
                <w:szCs w:val="20"/>
              </w:rPr>
              <w:t>≤</w:t>
            </w:r>
            <w:r>
              <w:rPr>
                <w:sz w:val="20"/>
                <w:szCs w:val="20"/>
              </w:rPr>
              <w:t xml:space="preserve"> 0.150</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93.3%</w:t>
            </w:r>
          </w:p>
        </w:tc>
        <w:tc>
          <w:tcPr>
            <w:tcW w:w="1659" w:type="dxa"/>
            <w:tcBorders>
              <w:top w:val="nil"/>
              <w:left w:val="nil"/>
              <w:bottom w:val="nil"/>
              <w:right w:val="nil"/>
            </w:tcBorders>
          </w:tcPr>
          <w:p w:rsidR="008E39BB" w:rsidRDefault="008E39BB" w:rsidP="008E39BB">
            <w:pPr>
              <w:widowControl w:val="0"/>
              <w:jc w:val="center"/>
              <w:rPr>
                <w:sz w:val="20"/>
                <w:szCs w:val="20"/>
              </w:rPr>
            </w:pPr>
            <w:r>
              <w:rPr>
                <w:sz w:val="20"/>
                <w:szCs w:val="20"/>
              </w:rPr>
              <w:t>45.8%</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14.5%</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3.8%</w:t>
            </w:r>
          </w:p>
        </w:tc>
        <w:tc>
          <w:tcPr>
            <w:tcW w:w="2203"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18.5</w:t>
            </w:r>
          </w:p>
        </w:tc>
      </w:tr>
      <w:tr w:rsidR="008E39BB" w:rsidTr="00DE2A70">
        <w:trPr>
          <w:jc w:val="center"/>
        </w:trPr>
        <w:tc>
          <w:tcPr>
            <w:tcW w:w="4121" w:type="dxa"/>
            <w:tcBorders>
              <w:top w:val="nil"/>
              <w:left w:val="nil"/>
              <w:bottom w:val="single" w:sz="4" w:space="0" w:color="auto"/>
              <w:right w:val="nil"/>
            </w:tcBorders>
            <w:vAlign w:val="center"/>
          </w:tcPr>
          <w:p w:rsidR="008E39BB" w:rsidRDefault="008E39BB" w:rsidP="00D64323">
            <w:pPr>
              <w:widowControl w:val="0"/>
              <w:jc w:val="center"/>
              <w:rPr>
                <w:sz w:val="20"/>
                <w:szCs w:val="20"/>
              </w:rPr>
            </w:pPr>
            <w:r w:rsidRPr="003350F0">
              <w:rPr>
                <w:i/>
                <w:sz w:val="20"/>
                <w:szCs w:val="20"/>
              </w:rPr>
              <w:t>Debt/TA</w:t>
            </w:r>
            <w:r>
              <w:rPr>
                <w:sz w:val="20"/>
                <w:szCs w:val="20"/>
              </w:rPr>
              <w:t xml:space="preserve"> range </w:t>
            </w:r>
            <w:r>
              <w:rPr>
                <w:rFonts w:cs="Times New Roman"/>
                <w:sz w:val="20"/>
                <w:szCs w:val="20"/>
              </w:rPr>
              <w:t>≤</w:t>
            </w:r>
            <w:r>
              <w:rPr>
                <w:sz w:val="20"/>
                <w:szCs w:val="20"/>
              </w:rPr>
              <w:t xml:space="preserve"> 0.200</w:t>
            </w:r>
          </w:p>
        </w:tc>
        <w:tc>
          <w:tcPr>
            <w:tcW w:w="1659"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97.8%</w:t>
            </w:r>
          </w:p>
        </w:tc>
        <w:tc>
          <w:tcPr>
            <w:tcW w:w="1659" w:type="dxa"/>
            <w:tcBorders>
              <w:top w:val="nil"/>
              <w:left w:val="nil"/>
              <w:bottom w:val="single" w:sz="4" w:space="0" w:color="auto"/>
              <w:right w:val="nil"/>
            </w:tcBorders>
          </w:tcPr>
          <w:p w:rsidR="008E39BB" w:rsidRDefault="008E39BB" w:rsidP="008E39BB">
            <w:pPr>
              <w:widowControl w:val="0"/>
              <w:jc w:val="center"/>
              <w:rPr>
                <w:sz w:val="20"/>
                <w:szCs w:val="20"/>
              </w:rPr>
            </w:pPr>
            <w:r>
              <w:rPr>
                <w:sz w:val="20"/>
                <w:szCs w:val="20"/>
              </w:rPr>
              <w:t>69.0%</w:t>
            </w:r>
          </w:p>
        </w:tc>
        <w:tc>
          <w:tcPr>
            <w:tcW w:w="1659"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32.7%</w:t>
            </w:r>
          </w:p>
        </w:tc>
        <w:tc>
          <w:tcPr>
            <w:tcW w:w="1659"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9.9%</w:t>
            </w:r>
          </w:p>
        </w:tc>
        <w:tc>
          <w:tcPr>
            <w:tcW w:w="2203"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24.0</w:t>
            </w:r>
          </w:p>
        </w:tc>
      </w:tr>
      <w:tr w:rsidR="00520810" w:rsidTr="00DE2A70">
        <w:trPr>
          <w:jc w:val="center"/>
        </w:trPr>
        <w:tc>
          <w:tcPr>
            <w:tcW w:w="12960" w:type="dxa"/>
            <w:gridSpan w:val="6"/>
            <w:tcBorders>
              <w:top w:val="single" w:sz="4" w:space="0" w:color="auto"/>
              <w:left w:val="nil"/>
              <w:bottom w:val="single" w:sz="4" w:space="0" w:color="auto"/>
              <w:right w:val="nil"/>
            </w:tcBorders>
            <w:vAlign w:val="center"/>
          </w:tcPr>
          <w:p w:rsidR="00520810" w:rsidRDefault="00520810" w:rsidP="008E39BB">
            <w:pPr>
              <w:widowControl w:val="0"/>
              <w:jc w:val="center"/>
              <w:rPr>
                <w:sz w:val="20"/>
                <w:szCs w:val="20"/>
              </w:rPr>
            </w:pPr>
            <w:r>
              <w:rPr>
                <w:sz w:val="20"/>
                <w:szCs w:val="20"/>
              </w:rPr>
              <w:t>Panel C. Constant-composition sample:</w:t>
            </w:r>
          </w:p>
        </w:tc>
      </w:tr>
      <w:tr w:rsidR="008E39BB" w:rsidTr="00DE2A70">
        <w:trPr>
          <w:jc w:val="center"/>
        </w:trPr>
        <w:tc>
          <w:tcPr>
            <w:tcW w:w="4121" w:type="dxa"/>
            <w:tcBorders>
              <w:top w:val="single" w:sz="4" w:space="0" w:color="auto"/>
              <w:left w:val="nil"/>
              <w:bottom w:val="nil"/>
              <w:right w:val="nil"/>
            </w:tcBorders>
            <w:vAlign w:val="center"/>
          </w:tcPr>
          <w:p w:rsidR="008E39BB" w:rsidRDefault="008E39BB" w:rsidP="00D64323">
            <w:pPr>
              <w:widowControl w:val="0"/>
              <w:jc w:val="center"/>
              <w:rPr>
                <w:sz w:val="20"/>
                <w:szCs w:val="20"/>
              </w:rPr>
            </w:pPr>
            <w:r w:rsidRPr="003350F0">
              <w:rPr>
                <w:i/>
                <w:sz w:val="20"/>
                <w:szCs w:val="20"/>
              </w:rPr>
              <w:t>Debt/TA</w:t>
            </w:r>
            <w:r>
              <w:rPr>
                <w:sz w:val="20"/>
                <w:szCs w:val="20"/>
              </w:rPr>
              <w:t xml:space="preserve"> range </w:t>
            </w:r>
            <w:r>
              <w:rPr>
                <w:rFonts w:cs="Times New Roman"/>
                <w:sz w:val="20"/>
                <w:szCs w:val="20"/>
              </w:rPr>
              <w:t>≤</w:t>
            </w:r>
            <w:r>
              <w:rPr>
                <w:sz w:val="20"/>
                <w:szCs w:val="20"/>
              </w:rPr>
              <w:t xml:space="preserve"> 0.050</w:t>
            </w:r>
          </w:p>
        </w:tc>
        <w:tc>
          <w:tcPr>
            <w:tcW w:w="1659"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51.6%</w:t>
            </w:r>
          </w:p>
        </w:tc>
        <w:tc>
          <w:tcPr>
            <w:tcW w:w="1659" w:type="dxa"/>
            <w:tcBorders>
              <w:top w:val="single" w:sz="4" w:space="0" w:color="auto"/>
              <w:left w:val="nil"/>
              <w:bottom w:val="nil"/>
              <w:right w:val="nil"/>
            </w:tcBorders>
          </w:tcPr>
          <w:p w:rsidR="008E39BB" w:rsidRDefault="008E39BB" w:rsidP="008E39BB">
            <w:pPr>
              <w:widowControl w:val="0"/>
              <w:jc w:val="center"/>
              <w:rPr>
                <w:sz w:val="20"/>
                <w:szCs w:val="20"/>
              </w:rPr>
            </w:pPr>
            <w:r>
              <w:rPr>
                <w:sz w:val="20"/>
                <w:szCs w:val="20"/>
              </w:rPr>
              <w:t>7.6%</w:t>
            </w:r>
          </w:p>
        </w:tc>
        <w:tc>
          <w:tcPr>
            <w:tcW w:w="1659"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2.5%</w:t>
            </w:r>
          </w:p>
        </w:tc>
        <w:tc>
          <w:tcPr>
            <w:tcW w:w="1659"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0.0%</w:t>
            </w:r>
          </w:p>
        </w:tc>
        <w:tc>
          <w:tcPr>
            <w:tcW w:w="2203" w:type="dxa"/>
            <w:tcBorders>
              <w:top w:val="single" w:sz="4" w:space="0" w:color="auto"/>
              <w:left w:val="nil"/>
              <w:bottom w:val="nil"/>
              <w:right w:val="nil"/>
            </w:tcBorders>
            <w:vAlign w:val="center"/>
          </w:tcPr>
          <w:p w:rsidR="008E39BB" w:rsidRDefault="008E39BB" w:rsidP="008E39BB">
            <w:pPr>
              <w:widowControl w:val="0"/>
              <w:jc w:val="center"/>
              <w:rPr>
                <w:sz w:val="20"/>
                <w:szCs w:val="20"/>
              </w:rPr>
            </w:pPr>
            <w:r>
              <w:rPr>
                <w:sz w:val="20"/>
                <w:szCs w:val="20"/>
              </w:rPr>
              <w:t>10.0</w:t>
            </w:r>
          </w:p>
        </w:tc>
      </w:tr>
      <w:tr w:rsidR="008E39BB" w:rsidTr="008E39BB">
        <w:trPr>
          <w:jc w:val="center"/>
        </w:trPr>
        <w:tc>
          <w:tcPr>
            <w:tcW w:w="4121" w:type="dxa"/>
            <w:tcBorders>
              <w:top w:val="nil"/>
              <w:left w:val="nil"/>
              <w:bottom w:val="nil"/>
              <w:right w:val="nil"/>
            </w:tcBorders>
            <w:vAlign w:val="center"/>
          </w:tcPr>
          <w:p w:rsidR="008E39BB" w:rsidRDefault="008E39BB" w:rsidP="00D64323">
            <w:pPr>
              <w:widowControl w:val="0"/>
              <w:jc w:val="center"/>
              <w:rPr>
                <w:sz w:val="20"/>
                <w:szCs w:val="20"/>
              </w:rPr>
            </w:pPr>
            <w:r w:rsidRPr="003350F0">
              <w:rPr>
                <w:i/>
                <w:sz w:val="20"/>
                <w:szCs w:val="20"/>
              </w:rPr>
              <w:t>Debt/TA</w:t>
            </w:r>
            <w:r>
              <w:rPr>
                <w:sz w:val="20"/>
                <w:szCs w:val="20"/>
              </w:rPr>
              <w:t xml:space="preserve"> range </w:t>
            </w:r>
            <w:r>
              <w:rPr>
                <w:rFonts w:cs="Times New Roman"/>
                <w:sz w:val="20"/>
                <w:szCs w:val="20"/>
              </w:rPr>
              <w:t>≤</w:t>
            </w:r>
            <w:r>
              <w:rPr>
                <w:sz w:val="20"/>
                <w:szCs w:val="20"/>
              </w:rPr>
              <w:t xml:space="preserve"> 0.100</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94.9%</w:t>
            </w:r>
          </w:p>
        </w:tc>
        <w:tc>
          <w:tcPr>
            <w:tcW w:w="1659" w:type="dxa"/>
            <w:tcBorders>
              <w:top w:val="nil"/>
              <w:left w:val="nil"/>
              <w:bottom w:val="nil"/>
              <w:right w:val="nil"/>
            </w:tcBorders>
          </w:tcPr>
          <w:p w:rsidR="008E39BB" w:rsidRDefault="008E39BB" w:rsidP="008E39BB">
            <w:pPr>
              <w:widowControl w:val="0"/>
              <w:jc w:val="center"/>
              <w:rPr>
                <w:sz w:val="20"/>
                <w:szCs w:val="20"/>
              </w:rPr>
            </w:pPr>
            <w:r>
              <w:rPr>
                <w:sz w:val="20"/>
                <w:szCs w:val="20"/>
              </w:rPr>
              <w:t>28.0%</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7.6%</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1.3%</w:t>
            </w:r>
          </w:p>
        </w:tc>
        <w:tc>
          <w:tcPr>
            <w:tcW w:w="2203"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16.0</w:t>
            </w:r>
          </w:p>
        </w:tc>
      </w:tr>
      <w:tr w:rsidR="008E39BB" w:rsidTr="008E39BB">
        <w:trPr>
          <w:jc w:val="center"/>
        </w:trPr>
        <w:tc>
          <w:tcPr>
            <w:tcW w:w="4121" w:type="dxa"/>
            <w:tcBorders>
              <w:top w:val="nil"/>
              <w:left w:val="nil"/>
              <w:bottom w:val="nil"/>
              <w:right w:val="nil"/>
            </w:tcBorders>
            <w:vAlign w:val="center"/>
          </w:tcPr>
          <w:p w:rsidR="008E39BB" w:rsidRDefault="008E39BB" w:rsidP="00D64323">
            <w:pPr>
              <w:widowControl w:val="0"/>
              <w:jc w:val="center"/>
              <w:rPr>
                <w:sz w:val="20"/>
                <w:szCs w:val="20"/>
              </w:rPr>
            </w:pPr>
            <w:r w:rsidRPr="003350F0">
              <w:rPr>
                <w:i/>
                <w:sz w:val="20"/>
                <w:szCs w:val="20"/>
              </w:rPr>
              <w:t>Debt/TA</w:t>
            </w:r>
            <w:r>
              <w:rPr>
                <w:sz w:val="20"/>
                <w:szCs w:val="20"/>
              </w:rPr>
              <w:t xml:space="preserve"> range </w:t>
            </w:r>
            <w:r>
              <w:rPr>
                <w:rFonts w:cs="Times New Roman"/>
                <w:sz w:val="20"/>
                <w:szCs w:val="20"/>
              </w:rPr>
              <w:t>≤</w:t>
            </w:r>
            <w:r>
              <w:rPr>
                <w:sz w:val="20"/>
                <w:szCs w:val="20"/>
              </w:rPr>
              <w:t xml:space="preserve"> 0.150</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100.0%</w:t>
            </w:r>
          </w:p>
        </w:tc>
        <w:tc>
          <w:tcPr>
            <w:tcW w:w="1659" w:type="dxa"/>
            <w:tcBorders>
              <w:top w:val="nil"/>
              <w:left w:val="nil"/>
              <w:bottom w:val="nil"/>
              <w:right w:val="nil"/>
            </w:tcBorders>
          </w:tcPr>
          <w:p w:rsidR="008E39BB" w:rsidRDefault="008E39BB" w:rsidP="008E39BB">
            <w:pPr>
              <w:widowControl w:val="0"/>
              <w:jc w:val="center"/>
              <w:rPr>
                <w:sz w:val="20"/>
                <w:szCs w:val="20"/>
              </w:rPr>
            </w:pPr>
            <w:r>
              <w:rPr>
                <w:sz w:val="20"/>
                <w:szCs w:val="20"/>
              </w:rPr>
              <w:t>68.2%</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24.2%</w:t>
            </w:r>
          </w:p>
        </w:tc>
        <w:tc>
          <w:tcPr>
            <w:tcW w:w="1659"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6.4%</w:t>
            </w:r>
          </w:p>
        </w:tc>
        <w:tc>
          <w:tcPr>
            <w:tcW w:w="2203" w:type="dxa"/>
            <w:tcBorders>
              <w:top w:val="nil"/>
              <w:left w:val="nil"/>
              <w:bottom w:val="nil"/>
              <w:right w:val="nil"/>
            </w:tcBorders>
            <w:vAlign w:val="center"/>
          </w:tcPr>
          <w:p w:rsidR="008E39BB" w:rsidRDefault="008E39BB" w:rsidP="008E39BB">
            <w:pPr>
              <w:widowControl w:val="0"/>
              <w:jc w:val="center"/>
              <w:rPr>
                <w:sz w:val="20"/>
                <w:szCs w:val="20"/>
              </w:rPr>
            </w:pPr>
            <w:r>
              <w:rPr>
                <w:sz w:val="20"/>
                <w:szCs w:val="20"/>
              </w:rPr>
              <w:t>22.0</w:t>
            </w:r>
          </w:p>
        </w:tc>
      </w:tr>
      <w:tr w:rsidR="008E39BB" w:rsidTr="008E39BB">
        <w:trPr>
          <w:jc w:val="center"/>
        </w:trPr>
        <w:tc>
          <w:tcPr>
            <w:tcW w:w="4121" w:type="dxa"/>
            <w:tcBorders>
              <w:top w:val="nil"/>
              <w:left w:val="nil"/>
              <w:bottom w:val="single" w:sz="4" w:space="0" w:color="auto"/>
              <w:right w:val="nil"/>
            </w:tcBorders>
            <w:vAlign w:val="center"/>
          </w:tcPr>
          <w:p w:rsidR="008E39BB" w:rsidRDefault="008E39BB" w:rsidP="00D64323">
            <w:pPr>
              <w:widowControl w:val="0"/>
              <w:jc w:val="center"/>
              <w:rPr>
                <w:sz w:val="20"/>
                <w:szCs w:val="20"/>
              </w:rPr>
            </w:pPr>
            <w:r w:rsidRPr="003350F0">
              <w:rPr>
                <w:i/>
                <w:sz w:val="20"/>
                <w:szCs w:val="20"/>
              </w:rPr>
              <w:t xml:space="preserve">Debt/TA </w:t>
            </w:r>
            <w:r>
              <w:rPr>
                <w:sz w:val="20"/>
                <w:szCs w:val="20"/>
              </w:rPr>
              <w:t xml:space="preserve">range </w:t>
            </w:r>
            <w:r>
              <w:rPr>
                <w:rFonts w:cs="Times New Roman"/>
                <w:sz w:val="20"/>
                <w:szCs w:val="20"/>
              </w:rPr>
              <w:t>≤</w:t>
            </w:r>
            <w:r>
              <w:rPr>
                <w:sz w:val="20"/>
                <w:szCs w:val="20"/>
              </w:rPr>
              <w:t xml:space="preserve"> 0.200</w:t>
            </w:r>
          </w:p>
        </w:tc>
        <w:tc>
          <w:tcPr>
            <w:tcW w:w="1659"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100.0%</w:t>
            </w:r>
          </w:p>
        </w:tc>
        <w:tc>
          <w:tcPr>
            <w:tcW w:w="1659" w:type="dxa"/>
            <w:tcBorders>
              <w:top w:val="nil"/>
              <w:left w:val="nil"/>
              <w:bottom w:val="single" w:sz="4" w:space="0" w:color="auto"/>
              <w:right w:val="nil"/>
            </w:tcBorders>
          </w:tcPr>
          <w:p w:rsidR="008E39BB" w:rsidRDefault="008E39BB" w:rsidP="008E39BB">
            <w:pPr>
              <w:widowControl w:val="0"/>
              <w:jc w:val="center"/>
              <w:rPr>
                <w:sz w:val="20"/>
                <w:szCs w:val="20"/>
              </w:rPr>
            </w:pPr>
            <w:r>
              <w:rPr>
                <w:sz w:val="20"/>
                <w:szCs w:val="20"/>
              </w:rPr>
              <w:t>87.9%</w:t>
            </w:r>
          </w:p>
        </w:tc>
        <w:tc>
          <w:tcPr>
            <w:tcW w:w="1659"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51.0%</w:t>
            </w:r>
          </w:p>
        </w:tc>
        <w:tc>
          <w:tcPr>
            <w:tcW w:w="1659"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14.6%</w:t>
            </w:r>
          </w:p>
        </w:tc>
        <w:tc>
          <w:tcPr>
            <w:tcW w:w="2203" w:type="dxa"/>
            <w:tcBorders>
              <w:top w:val="nil"/>
              <w:left w:val="nil"/>
              <w:bottom w:val="single" w:sz="4" w:space="0" w:color="auto"/>
              <w:right w:val="nil"/>
            </w:tcBorders>
            <w:vAlign w:val="center"/>
          </w:tcPr>
          <w:p w:rsidR="008E39BB" w:rsidRDefault="008E39BB" w:rsidP="008E39BB">
            <w:pPr>
              <w:widowControl w:val="0"/>
              <w:jc w:val="center"/>
              <w:rPr>
                <w:sz w:val="20"/>
                <w:szCs w:val="20"/>
              </w:rPr>
            </w:pPr>
            <w:r>
              <w:rPr>
                <w:sz w:val="20"/>
                <w:szCs w:val="20"/>
              </w:rPr>
              <w:t>30.0</w:t>
            </w:r>
          </w:p>
        </w:tc>
      </w:tr>
    </w:tbl>
    <w:p w:rsidR="008E39BB" w:rsidRDefault="008E39BB" w:rsidP="008E39BB">
      <w:pPr>
        <w:widowControl w:val="0"/>
        <w:rPr>
          <w:sz w:val="20"/>
          <w:szCs w:val="20"/>
        </w:rPr>
      </w:pPr>
    </w:p>
    <w:p w:rsidR="008E39BB" w:rsidRDefault="008E39BB" w:rsidP="008E39BB">
      <w:pPr>
        <w:rPr>
          <w:sz w:val="20"/>
          <w:szCs w:val="20"/>
        </w:rPr>
      </w:pPr>
      <w:r>
        <w:rPr>
          <w:sz w:val="20"/>
          <w:szCs w:val="20"/>
        </w:rPr>
        <w:br w:type="page"/>
      </w:r>
    </w:p>
    <w:p w:rsidR="008E39BB" w:rsidRDefault="008E39BB" w:rsidP="008E39BB">
      <w:pPr>
        <w:widowControl w:val="0"/>
        <w:rPr>
          <w:sz w:val="20"/>
          <w:szCs w:val="20"/>
        </w:rPr>
      </w:pPr>
    </w:p>
    <w:p w:rsidR="008E39BB" w:rsidRDefault="008E39BB" w:rsidP="008E39BB">
      <w:pPr>
        <w:widowControl w:val="0"/>
        <w:rPr>
          <w:sz w:val="20"/>
          <w:szCs w:val="20"/>
        </w:rPr>
      </w:pPr>
    </w:p>
    <w:p w:rsidR="008E39BB" w:rsidRDefault="008E39BB" w:rsidP="008E39BB">
      <w:pPr>
        <w:widowControl w:val="0"/>
        <w:rPr>
          <w:sz w:val="20"/>
          <w:szCs w:val="20"/>
        </w:rPr>
      </w:pPr>
    </w:p>
    <w:p w:rsidR="008E39BB" w:rsidRDefault="008E39BB" w:rsidP="008E39BB">
      <w:pPr>
        <w:widowControl w:val="0"/>
        <w:rPr>
          <w:sz w:val="20"/>
          <w:szCs w:val="20"/>
        </w:rPr>
      </w:pPr>
    </w:p>
    <w:p w:rsidR="008E39BB" w:rsidRDefault="008E39BB" w:rsidP="008E39BB">
      <w:pPr>
        <w:widowControl w:val="0"/>
        <w:rPr>
          <w:sz w:val="20"/>
          <w:szCs w:val="20"/>
        </w:rPr>
      </w:pPr>
    </w:p>
    <w:p w:rsidR="008E39BB" w:rsidRDefault="0067344F" w:rsidP="008E39BB">
      <w:pPr>
        <w:widowControl w:val="0"/>
        <w:jc w:val="center"/>
        <w:rPr>
          <w:b/>
          <w:sz w:val="20"/>
          <w:szCs w:val="20"/>
        </w:rPr>
      </w:pPr>
      <w:r>
        <w:rPr>
          <w:b/>
          <w:sz w:val="20"/>
          <w:szCs w:val="20"/>
        </w:rPr>
        <w:t xml:space="preserve">Table </w:t>
      </w:r>
      <w:r w:rsidR="00AA4744">
        <w:rPr>
          <w:b/>
          <w:sz w:val="20"/>
          <w:szCs w:val="20"/>
        </w:rPr>
        <w:t>IA.</w:t>
      </w:r>
      <w:r w:rsidR="00E84F3B">
        <w:rPr>
          <w:b/>
          <w:sz w:val="20"/>
          <w:szCs w:val="20"/>
        </w:rPr>
        <w:t>VI</w:t>
      </w:r>
    </w:p>
    <w:p w:rsidR="008E39BB" w:rsidRDefault="008E39BB" w:rsidP="008E39BB">
      <w:pPr>
        <w:widowControl w:val="0"/>
        <w:jc w:val="center"/>
        <w:rPr>
          <w:b/>
          <w:sz w:val="20"/>
          <w:szCs w:val="20"/>
        </w:rPr>
      </w:pPr>
    </w:p>
    <w:p w:rsidR="008E39BB" w:rsidRPr="0087153C" w:rsidRDefault="008E39BB" w:rsidP="008E39BB">
      <w:pPr>
        <w:widowControl w:val="0"/>
        <w:jc w:val="center"/>
        <w:rPr>
          <w:b/>
          <w:sz w:val="20"/>
          <w:szCs w:val="20"/>
        </w:rPr>
      </w:pPr>
      <w:r>
        <w:rPr>
          <w:b/>
          <w:sz w:val="20"/>
          <w:szCs w:val="20"/>
        </w:rPr>
        <w:t>S</w:t>
      </w:r>
      <w:r w:rsidRPr="0087153C">
        <w:rPr>
          <w:b/>
          <w:sz w:val="20"/>
          <w:szCs w:val="20"/>
        </w:rPr>
        <w:t xml:space="preserve">table </w:t>
      </w:r>
      <w:r>
        <w:rPr>
          <w:b/>
          <w:sz w:val="20"/>
          <w:szCs w:val="20"/>
        </w:rPr>
        <w:t>L</w:t>
      </w:r>
      <w:r w:rsidRPr="0087153C">
        <w:rPr>
          <w:b/>
          <w:sz w:val="20"/>
          <w:szCs w:val="20"/>
        </w:rPr>
        <w:t xml:space="preserve">everage </w:t>
      </w:r>
      <w:r>
        <w:rPr>
          <w:b/>
          <w:sz w:val="20"/>
          <w:szCs w:val="20"/>
        </w:rPr>
        <w:t>R</w:t>
      </w:r>
      <w:r w:rsidRPr="0087153C">
        <w:rPr>
          <w:b/>
          <w:sz w:val="20"/>
          <w:szCs w:val="20"/>
        </w:rPr>
        <w:t>egimes</w:t>
      </w:r>
      <w:r>
        <w:rPr>
          <w:b/>
          <w:sz w:val="20"/>
          <w:szCs w:val="20"/>
        </w:rPr>
        <w:t xml:space="preserve"> and the Level of Leverage</w:t>
      </w:r>
    </w:p>
    <w:p w:rsidR="008E39BB" w:rsidRDefault="008E39BB" w:rsidP="008E39BB">
      <w:pPr>
        <w:widowControl w:val="0"/>
        <w:rPr>
          <w:sz w:val="20"/>
          <w:szCs w:val="20"/>
        </w:rPr>
      </w:pPr>
    </w:p>
    <w:p w:rsidR="008E39BB" w:rsidRPr="002D4B62" w:rsidRDefault="008E39BB" w:rsidP="008E39BB">
      <w:pPr>
        <w:widowControl w:val="0"/>
        <w:rPr>
          <w:sz w:val="20"/>
          <w:szCs w:val="20"/>
        </w:rPr>
      </w:pPr>
      <w:r w:rsidRPr="002D4B62">
        <w:rPr>
          <w:sz w:val="20"/>
          <w:szCs w:val="20"/>
        </w:rPr>
        <w:t xml:space="preserve">For each firm, we identify the longest stable leverage regime (as defined below), with </w:t>
      </w:r>
      <w:r w:rsidR="00123D72">
        <w:rPr>
          <w:sz w:val="20"/>
          <w:szCs w:val="20"/>
        </w:rPr>
        <w:t>Panel</w:t>
      </w:r>
      <w:r w:rsidRPr="002D4B62">
        <w:rPr>
          <w:sz w:val="20"/>
          <w:szCs w:val="20"/>
        </w:rPr>
        <w:t xml:space="preserve">A analyzing stable regimes that last at least 20 years and </w:t>
      </w:r>
      <w:r w:rsidR="00123D72">
        <w:rPr>
          <w:sz w:val="20"/>
          <w:szCs w:val="20"/>
        </w:rPr>
        <w:t>Panel</w:t>
      </w:r>
      <w:r w:rsidRPr="002D4B62">
        <w:rPr>
          <w:sz w:val="20"/>
          <w:szCs w:val="20"/>
        </w:rPr>
        <w:t xml:space="preserve"> B analyzing those that last at least 10 years.  The columns of the table sort firms according to the median value of the </w:t>
      </w:r>
      <w:r w:rsidRPr="003350F0">
        <w:rPr>
          <w:i/>
          <w:sz w:val="20"/>
          <w:szCs w:val="20"/>
        </w:rPr>
        <w:t>Debt/TA</w:t>
      </w:r>
      <w:r w:rsidRPr="002D4B62">
        <w:rPr>
          <w:sz w:val="20"/>
          <w:szCs w:val="20"/>
        </w:rPr>
        <w:t xml:space="preserve"> ratio during its longest stable regime, and report the percentage of firms (in the sample for the row in question) that falls in each specified leverage interval.  The first row in each panel defines a stable leverage regime as one in which the firm’s </w:t>
      </w:r>
      <w:r w:rsidRPr="000D08BB">
        <w:rPr>
          <w:i/>
          <w:sz w:val="20"/>
          <w:szCs w:val="20"/>
        </w:rPr>
        <w:t>Debt/Total Assets</w:t>
      </w:r>
      <w:r w:rsidRPr="002D4B62">
        <w:rPr>
          <w:sz w:val="20"/>
          <w:szCs w:val="20"/>
        </w:rPr>
        <w:t xml:space="preserve"> ratio continuously remains in a range </w:t>
      </w:r>
      <w:r w:rsidRPr="002D4B62">
        <w:rPr>
          <w:rFonts w:cs="Times New Roman"/>
          <w:sz w:val="20"/>
          <w:szCs w:val="20"/>
        </w:rPr>
        <w:t>of values that differ by no more than</w:t>
      </w:r>
      <w:r w:rsidRPr="002D4B62">
        <w:rPr>
          <w:sz w:val="20"/>
          <w:szCs w:val="20"/>
        </w:rPr>
        <w:t xml:space="preserve"> 0.050.  Each subsequent row in the same panel considers a successively broader (more lax) definition of a stable regime.  The second row defines a stable leverage regime as one in which the firm’s </w:t>
      </w:r>
      <w:r w:rsidRPr="000D08BB">
        <w:rPr>
          <w:i/>
          <w:sz w:val="20"/>
          <w:szCs w:val="20"/>
        </w:rPr>
        <w:t>Debt/TA</w:t>
      </w:r>
      <w:r w:rsidRPr="002D4B62">
        <w:rPr>
          <w:sz w:val="20"/>
          <w:szCs w:val="20"/>
        </w:rPr>
        <w:t xml:space="preserve"> range continuously remains in a range of values that do not differ by more than 0.100, while the third and fourth rows define stable regimes as situations in which </w:t>
      </w:r>
      <w:r w:rsidRPr="000D08BB">
        <w:rPr>
          <w:i/>
          <w:sz w:val="20"/>
          <w:szCs w:val="20"/>
        </w:rPr>
        <w:t>Debt/TA</w:t>
      </w:r>
      <w:r w:rsidRPr="002D4B62">
        <w:rPr>
          <w:sz w:val="20"/>
          <w:szCs w:val="20"/>
        </w:rPr>
        <w:t xml:space="preserve"> continuously remains within a range of values that do not differ by more than 0.150 and 0.200</w:t>
      </w:r>
      <w:r w:rsidR="005938E1">
        <w:rPr>
          <w:sz w:val="20"/>
          <w:szCs w:val="20"/>
        </w:rPr>
        <w:t>,</w:t>
      </w:r>
      <w:r w:rsidRPr="002D4B62">
        <w:rPr>
          <w:sz w:val="20"/>
          <w:szCs w:val="20"/>
        </w:rPr>
        <w:t xml:space="preserve"> respectively. </w:t>
      </w:r>
    </w:p>
    <w:p w:rsidR="008E39BB" w:rsidRPr="002D4B62" w:rsidRDefault="008E39BB" w:rsidP="008E39BB">
      <w:pPr>
        <w:widowControl w:val="0"/>
        <w:rPr>
          <w:sz w:val="24"/>
          <w:szCs w:val="24"/>
        </w:rPr>
      </w:pPr>
    </w:p>
    <w:tbl>
      <w:tblPr>
        <w:tblStyle w:val="TableGrid"/>
        <w:tblW w:w="1324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086"/>
        <w:gridCol w:w="1597"/>
        <w:gridCol w:w="1598"/>
        <w:gridCol w:w="1597"/>
        <w:gridCol w:w="1597"/>
        <w:gridCol w:w="1597"/>
        <w:gridCol w:w="1176"/>
      </w:tblGrid>
      <w:tr w:rsidR="008E39BB" w:rsidTr="00DE2A70">
        <w:trPr>
          <w:jc w:val="center"/>
        </w:trPr>
        <w:tc>
          <w:tcPr>
            <w:tcW w:w="4086" w:type="dxa"/>
            <w:vAlign w:val="center"/>
          </w:tcPr>
          <w:p w:rsidR="008E39BB" w:rsidRDefault="008E39BB" w:rsidP="008E39BB">
            <w:pPr>
              <w:widowControl w:val="0"/>
              <w:jc w:val="left"/>
              <w:rPr>
                <w:sz w:val="20"/>
                <w:szCs w:val="20"/>
              </w:rPr>
            </w:pPr>
          </w:p>
        </w:tc>
        <w:tc>
          <w:tcPr>
            <w:tcW w:w="7986" w:type="dxa"/>
            <w:gridSpan w:val="5"/>
            <w:tcBorders>
              <w:bottom w:val="single" w:sz="4" w:space="0" w:color="auto"/>
            </w:tcBorders>
            <w:vAlign w:val="center"/>
          </w:tcPr>
          <w:p w:rsidR="008E39BB" w:rsidRDefault="003350F0" w:rsidP="008E39BB">
            <w:pPr>
              <w:widowControl w:val="0"/>
              <w:jc w:val="center"/>
              <w:rPr>
                <w:sz w:val="20"/>
                <w:szCs w:val="20"/>
              </w:rPr>
            </w:pPr>
            <w:r>
              <w:rPr>
                <w:sz w:val="20"/>
                <w:szCs w:val="20"/>
              </w:rPr>
              <w:t>%</w:t>
            </w:r>
            <w:r w:rsidR="008E39BB">
              <w:rPr>
                <w:sz w:val="20"/>
                <w:szCs w:val="20"/>
              </w:rPr>
              <w:t xml:space="preserve"> of firms with median </w:t>
            </w:r>
            <w:r w:rsidR="008E39BB" w:rsidRPr="003350F0">
              <w:rPr>
                <w:i/>
                <w:sz w:val="20"/>
                <w:szCs w:val="20"/>
              </w:rPr>
              <w:t>Debt/TA</w:t>
            </w:r>
            <w:r w:rsidR="008E39BB">
              <w:rPr>
                <w:sz w:val="20"/>
                <w:szCs w:val="20"/>
              </w:rPr>
              <w:t xml:space="preserve"> during stable regime that falls in interval:</w:t>
            </w:r>
          </w:p>
        </w:tc>
        <w:tc>
          <w:tcPr>
            <w:tcW w:w="1176" w:type="dxa"/>
            <w:tcBorders>
              <w:bottom w:val="nil"/>
            </w:tcBorders>
            <w:vAlign w:val="center"/>
          </w:tcPr>
          <w:p w:rsidR="008E39BB" w:rsidRDefault="008E39BB" w:rsidP="008E39BB">
            <w:pPr>
              <w:widowControl w:val="0"/>
              <w:jc w:val="center"/>
              <w:rPr>
                <w:sz w:val="20"/>
                <w:szCs w:val="20"/>
              </w:rPr>
            </w:pPr>
            <w:r>
              <w:rPr>
                <w:sz w:val="20"/>
                <w:szCs w:val="20"/>
              </w:rPr>
              <w:t>Number</w:t>
            </w:r>
          </w:p>
        </w:tc>
      </w:tr>
      <w:tr w:rsidR="008E39BB" w:rsidTr="00DE2A70">
        <w:trPr>
          <w:jc w:val="center"/>
        </w:trPr>
        <w:tc>
          <w:tcPr>
            <w:tcW w:w="4086" w:type="dxa"/>
            <w:tcBorders>
              <w:bottom w:val="single" w:sz="4" w:space="0" w:color="auto"/>
            </w:tcBorders>
            <w:vAlign w:val="center"/>
          </w:tcPr>
          <w:p w:rsidR="008E39BB" w:rsidRDefault="008E39BB" w:rsidP="008E39BB">
            <w:pPr>
              <w:widowControl w:val="0"/>
              <w:jc w:val="left"/>
              <w:rPr>
                <w:sz w:val="20"/>
                <w:szCs w:val="20"/>
              </w:rPr>
            </w:pPr>
          </w:p>
        </w:tc>
        <w:tc>
          <w:tcPr>
            <w:tcW w:w="1597" w:type="dxa"/>
            <w:tcBorders>
              <w:top w:val="single" w:sz="4" w:space="0" w:color="auto"/>
              <w:bottom w:val="single" w:sz="4" w:space="0" w:color="auto"/>
            </w:tcBorders>
            <w:vAlign w:val="center"/>
          </w:tcPr>
          <w:p w:rsidR="008E39BB" w:rsidRDefault="008E39BB" w:rsidP="008E39BB">
            <w:pPr>
              <w:widowControl w:val="0"/>
              <w:jc w:val="center"/>
              <w:rPr>
                <w:sz w:val="20"/>
                <w:szCs w:val="20"/>
              </w:rPr>
            </w:pPr>
            <w:r>
              <w:rPr>
                <w:sz w:val="20"/>
                <w:szCs w:val="20"/>
              </w:rPr>
              <w:t>0.100 or less</w:t>
            </w:r>
          </w:p>
        </w:tc>
        <w:tc>
          <w:tcPr>
            <w:tcW w:w="1598" w:type="dxa"/>
            <w:tcBorders>
              <w:top w:val="single" w:sz="4" w:space="0" w:color="auto"/>
              <w:bottom w:val="single" w:sz="4" w:space="0" w:color="auto"/>
            </w:tcBorders>
          </w:tcPr>
          <w:p w:rsidR="008E39BB" w:rsidRDefault="008E39BB" w:rsidP="008E39BB">
            <w:pPr>
              <w:widowControl w:val="0"/>
              <w:jc w:val="center"/>
              <w:rPr>
                <w:sz w:val="20"/>
                <w:szCs w:val="20"/>
              </w:rPr>
            </w:pPr>
            <w:r>
              <w:rPr>
                <w:sz w:val="20"/>
                <w:szCs w:val="20"/>
              </w:rPr>
              <w:t>0.100 to 0.200</w:t>
            </w:r>
          </w:p>
        </w:tc>
        <w:tc>
          <w:tcPr>
            <w:tcW w:w="1597" w:type="dxa"/>
            <w:tcBorders>
              <w:top w:val="single" w:sz="4" w:space="0" w:color="auto"/>
              <w:bottom w:val="single" w:sz="4" w:space="0" w:color="auto"/>
            </w:tcBorders>
          </w:tcPr>
          <w:p w:rsidR="008E39BB" w:rsidRDefault="008E39BB" w:rsidP="008E39BB">
            <w:pPr>
              <w:widowControl w:val="0"/>
              <w:jc w:val="center"/>
              <w:rPr>
                <w:sz w:val="20"/>
                <w:szCs w:val="20"/>
              </w:rPr>
            </w:pPr>
            <w:r>
              <w:rPr>
                <w:sz w:val="20"/>
                <w:szCs w:val="20"/>
              </w:rPr>
              <w:t>0.200 to 0.300</w:t>
            </w:r>
          </w:p>
        </w:tc>
        <w:tc>
          <w:tcPr>
            <w:tcW w:w="1597" w:type="dxa"/>
            <w:tcBorders>
              <w:top w:val="single" w:sz="4" w:space="0" w:color="auto"/>
              <w:bottom w:val="single" w:sz="4" w:space="0" w:color="auto"/>
            </w:tcBorders>
          </w:tcPr>
          <w:p w:rsidR="008E39BB" w:rsidRDefault="008E39BB" w:rsidP="008E39BB">
            <w:pPr>
              <w:widowControl w:val="0"/>
              <w:jc w:val="center"/>
              <w:rPr>
                <w:sz w:val="20"/>
                <w:szCs w:val="20"/>
              </w:rPr>
            </w:pPr>
            <w:r>
              <w:rPr>
                <w:sz w:val="20"/>
                <w:szCs w:val="20"/>
              </w:rPr>
              <w:t>0.300 to 0.400</w:t>
            </w:r>
          </w:p>
        </w:tc>
        <w:tc>
          <w:tcPr>
            <w:tcW w:w="1597" w:type="dxa"/>
            <w:tcBorders>
              <w:top w:val="single" w:sz="4" w:space="0" w:color="auto"/>
              <w:bottom w:val="single" w:sz="4" w:space="0" w:color="auto"/>
            </w:tcBorders>
          </w:tcPr>
          <w:p w:rsidR="008E39BB" w:rsidRDefault="008E39BB" w:rsidP="008E39BB">
            <w:pPr>
              <w:widowControl w:val="0"/>
              <w:jc w:val="center"/>
              <w:rPr>
                <w:sz w:val="20"/>
                <w:szCs w:val="20"/>
              </w:rPr>
            </w:pPr>
            <w:r>
              <w:rPr>
                <w:sz w:val="20"/>
                <w:szCs w:val="20"/>
              </w:rPr>
              <w:t>0.400 or higher</w:t>
            </w:r>
          </w:p>
        </w:tc>
        <w:tc>
          <w:tcPr>
            <w:tcW w:w="1176" w:type="dxa"/>
            <w:tcBorders>
              <w:top w:val="nil"/>
              <w:bottom w:val="single" w:sz="4" w:space="0" w:color="auto"/>
            </w:tcBorders>
            <w:vAlign w:val="center"/>
          </w:tcPr>
          <w:p w:rsidR="008E39BB" w:rsidRDefault="008E39BB" w:rsidP="008E39BB">
            <w:pPr>
              <w:widowControl w:val="0"/>
              <w:jc w:val="center"/>
              <w:rPr>
                <w:sz w:val="20"/>
                <w:szCs w:val="20"/>
              </w:rPr>
            </w:pPr>
            <w:r>
              <w:rPr>
                <w:sz w:val="20"/>
                <w:szCs w:val="20"/>
              </w:rPr>
              <w:t>of firms</w:t>
            </w:r>
          </w:p>
        </w:tc>
      </w:tr>
      <w:tr w:rsidR="00520810" w:rsidTr="00DE2A70">
        <w:trPr>
          <w:trHeight w:val="288"/>
          <w:jc w:val="center"/>
        </w:trPr>
        <w:tc>
          <w:tcPr>
            <w:tcW w:w="13248" w:type="dxa"/>
            <w:gridSpan w:val="7"/>
            <w:tcBorders>
              <w:top w:val="single" w:sz="4" w:space="0" w:color="auto"/>
              <w:bottom w:val="single" w:sz="4" w:space="0" w:color="auto"/>
            </w:tcBorders>
            <w:vAlign w:val="center"/>
          </w:tcPr>
          <w:p w:rsidR="00520810" w:rsidRDefault="00520810" w:rsidP="008E39BB">
            <w:pPr>
              <w:widowControl w:val="0"/>
              <w:jc w:val="center"/>
              <w:rPr>
                <w:sz w:val="20"/>
                <w:szCs w:val="20"/>
              </w:rPr>
            </w:pPr>
            <w:r>
              <w:rPr>
                <w:sz w:val="20"/>
                <w:szCs w:val="20"/>
              </w:rPr>
              <w:t>Panel A. Stable leverage regimes of 20 years or more</w:t>
            </w:r>
          </w:p>
        </w:tc>
      </w:tr>
      <w:tr w:rsidR="008E39BB" w:rsidTr="00DE2A70">
        <w:trPr>
          <w:trHeight w:val="288"/>
          <w:jc w:val="center"/>
        </w:trPr>
        <w:tc>
          <w:tcPr>
            <w:tcW w:w="4086" w:type="dxa"/>
            <w:tcBorders>
              <w:top w:val="single" w:sz="4" w:space="0" w:color="auto"/>
            </w:tcBorders>
            <w:vAlign w:val="center"/>
          </w:tcPr>
          <w:p w:rsidR="008E39BB" w:rsidRDefault="008E39BB" w:rsidP="00D64323">
            <w:pPr>
              <w:widowControl w:val="0"/>
              <w:jc w:val="center"/>
              <w:rPr>
                <w:sz w:val="20"/>
                <w:szCs w:val="20"/>
              </w:rPr>
            </w:pPr>
            <w:r w:rsidRPr="00612724">
              <w:rPr>
                <w:i/>
                <w:sz w:val="20"/>
                <w:szCs w:val="20"/>
              </w:rPr>
              <w:t>Debt/TA</w:t>
            </w:r>
            <w:r>
              <w:rPr>
                <w:sz w:val="20"/>
                <w:szCs w:val="20"/>
              </w:rPr>
              <w:t xml:space="preserve"> range </w:t>
            </w:r>
            <w:r>
              <w:rPr>
                <w:rFonts w:cs="Times New Roman"/>
                <w:sz w:val="20"/>
                <w:szCs w:val="20"/>
              </w:rPr>
              <w:t>≤</w:t>
            </w:r>
            <w:r>
              <w:rPr>
                <w:sz w:val="20"/>
                <w:szCs w:val="20"/>
              </w:rPr>
              <w:t xml:space="preserve">  0.050</w:t>
            </w:r>
          </w:p>
        </w:tc>
        <w:tc>
          <w:tcPr>
            <w:tcW w:w="1597" w:type="dxa"/>
            <w:tcBorders>
              <w:top w:val="single" w:sz="4" w:space="0" w:color="auto"/>
            </w:tcBorders>
            <w:vAlign w:val="center"/>
          </w:tcPr>
          <w:p w:rsidR="008E39BB" w:rsidRDefault="008E39BB" w:rsidP="008E39BB">
            <w:pPr>
              <w:widowControl w:val="0"/>
              <w:jc w:val="center"/>
              <w:rPr>
                <w:sz w:val="20"/>
                <w:szCs w:val="20"/>
              </w:rPr>
            </w:pPr>
            <w:r>
              <w:rPr>
                <w:sz w:val="20"/>
                <w:szCs w:val="20"/>
              </w:rPr>
              <w:t>100.0%</w:t>
            </w:r>
          </w:p>
        </w:tc>
        <w:tc>
          <w:tcPr>
            <w:tcW w:w="1598" w:type="dxa"/>
            <w:tcBorders>
              <w:top w:val="single" w:sz="4" w:space="0" w:color="auto"/>
            </w:tcBorders>
            <w:vAlign w:val="center"/>
          </w:tcPr>
          <w:p w:rsidR="008E39BB" w:rsidRDefault="008E39BB" w:rsidP="008E39BB">
            <w:pPr>
              <w:widowControl w:val="0"/>
              <w:jc w:val="center"/>
              <w:rPr>
                <w:sz w:val="20"/>
                <w:szCs w:val="20"/>
              </w:rPr>
            </w:pPr>
            <w:r>
              <w:rPr>
                <w:sz w:val="20"/>
                <w:szCs w:val="20"/>
              </w:rPr>
              <w:t>0.0%</w:t>
            </w:r>
          </w:p>
        </w:tc>
        <w:tc>
          <w:tcPr>
            <w:tcW w:w="1597" w:type="dxa"/>
            <w:tcBorders>
              <w:top w:val="single" w:sz="4" w:space="0" w:color="auto"/>
            </w:tcBorders>
            <w:vAlign w:val="center"/>
          </w:tcPr>
          <w:p w:rsidR="008E39BB" w:rsidRDefault="008E39BB" w:rsidP="008E39BB">
            <w:pPr>
              <w:widowControl w:val="0"/>
              <w:jc w:val="center"/>
              <w:rPr>
                <w:sz w:val="20"/>
                <w:szCs w:val="20"/>
              </w:rPr>
            </w:pPr>
            <w:r>
              <w:rPr>
                <w:sz w:val="20"/>
                <w:szCs w:val="20"/>
              </w:rPr>
              <w:t>0.0%</w:t>
            </w:r>
          </w:p>
        </w:tc>
        <w:tc>
          <w:tcPr>
            <w:tcW w:w="1597" w:type="dxa"/>
            <w:tcBorders>
              <w:top w:val="single" w:sz="4" w:space="0" w:color="auto"/>
            </w:tcBorders>
            <w:vAlign w:val="center"/>
          </w:tcPr>
          <w:p w:rsidR="008E39BB" w:rsidRDefault="008E39BB" w:rsidP="008E39BB">
            <w:pPr>
              <w:widowControl w:val="0"/>
              <w:jc w:val="center"/>
              <w:rPr>
                <w:sz w:val="20"/>
                <w:szCs w:val="20"/>
              </w:rPr>
            </w:pPr>
            <w:r>
              <w:rPr>
                <w:sz w:val="20"/>
                <w:szCs w:val="20"/>
              </w:rPr>
              <w:t>0.0%</w:t>
            </w:r>
          </w:p>
        </w:tc>
        <w:tc>
          <w:tcPr>
            <w:tcW w:w="1597" w:type="dxa"/>
            <w:tcBorders>
              <w:top w:val="single" w:sz="4" w:space="0" w:color="auto"/>
            </w:tcBorders>
            <w:vAlign w:val="center"/>
          </w:tcPr>
          <w:p w:rsidR="008E39BB" w:rsidRDefault="008E39BB" w:rsidP="008E39BB">
            <w:pPr>
              <w:widowControl w:val="0"/>
              <w:jc w:val="center"/>
              <w:rPr>
                <w:sz w:val="20"/>
                <w:szCs w:val="20"/>
              </w:rPr>
            </w:pPr>
            <w:r>
              <w:rPr>
                <w:sz w:val="20"/>
                <w:szCs w:val="20"/>
              </w:rPr>
              <w:t>0.0%</w:t>
            </w:r>
          </w:p>
        </w:tc>
        <w:tc>
          <w:tcPr>
            <w:tcW w:w="1176" w:type="dxa"/>
            <w:tcBorders>
              <w:top w:val="single" w:sz="4" w:space="0" w:color="auto"/>
            </w:tcBorders>
            <w:vAlign w:val="center"/>
          </w:tcPr>
          <w:p w:rsidR="008E39BB" w:rsidRDefault="008E39BB" w:rsidP="008E39BB">
            <w:pPr>
              <w:widowControl w:val="0"/>
              <w:jc w:val="center"/>
              <w:rPr>
                <w:sz w:val="20"/>
                <w:szCs w:val="20"/>
              </w:rPr>
            </w:pPr>
            <w:r>
              <w:rPr>
                <w:sz w:val="20"/>
                <w:szCs w:val="20"/>
              </w:rPr>
              <w:t>115</w:t>
            </w:r>
          </w:p>
        </w:tc>
      </w:tr>
      <w:tr w:rsidR="008E39BB" w:rsidTr="008E39BB">
        <w:trPr>
          <w:trHeight w:val="288"/>
          <w:jc w:val="center"/>
        </w:trPr>
        <w:tc>
          <w:tcPr>
            <w:tcW w:w="4086" w:type="dxa"/>
            <w:vAlign w:val="center"/>
          </w:tcPr>
          <w:p w:rsidR="008E39BB" w:rsidRDefault="008E39BB" w:rsidP="00D64323">
            <w:pPr>
              <w:widowControl w:val="0"/>
              <w:jc w:val="center"/>
              <w:rPr>
                <w:sz w:val="20"/>
                <w:szCs w:val="20"/>
              </w:rPr>
            </w:pPr>
            <w:r w:rsidRPr="00612724">
              <w:rPr>
                <w:i/>
                <w:sz w:val="20"/>
                <w:szCs w:val="20"/>
              </w:rPr>
              <w:t>Debt/TA</w:t>
            </w:r>
            <w:r>
              <w:rPr>
                <w:sz w:val="20"/>
                <w:szCs w:val="20"/>
              </w:rPr>
              <w:t xml:space="preserve"> range </w:t>
            </w:r>
            <w:r>
              <w:rPr>
                <w:rFonts w:cs="Times New Roman"/>
                <w:sz w:val="20"/>
                <w:szCs w:val="20"/>
              </w:rPr>
              <w:t>≤</w:t>
            </w:r>
            <w:r>
              <w:rPr>
                <w:sz w:val="20"/>
                <w:szCs w:val="20"/>
              </w:rPr>
              <w:t xml:space="preserve">  0.100</w:t>
            </w:r>
          </w:p>
        </w:tc>
        <w:tc>
          <w:tcPr>
            <w:tcW w:w="1597" w:type="dxa"/>
            <w:vAlign w:val="center"/>
          </w:tcPr>
          <w:p w:rsidR="008E39BB" w:rsidRDefault="008E39BB" w:rsidP="008E39BB">
            <w:pPr>
              <w:widowControl w:val="0"/>
              <w:jc w:val="center"/>
              <w:rPr>
                <w:sz w:val="20"/>
                <w:szCs w:val="20"/>
              </w:rPr>
            </w:pPr>
            <w:r>
              <w:rPr>
                <w:sz w:val="20"/>
                <w:szCs w:val="20"/>
              </w:rPr>
              <w:t>78.8%</w:t>
            </w:r>
          </w:p>
        </w:tc>
        <w:tc>
          <w:tcPr>
            <w:tcW w:w="1598" w:type="dxa"/>
            <w:vAlign w:val="center"/>
          </w:tcPr>
          <w:p w:rsidR="008E39BB" w:rsidRDefault="008E39BB" w:rsidP="008E39BB">
            <w:pPr>
              <w:widowControl w:val="0"/>
              <w:jc w:val="center"/>
              <w:rPr>
                <w:sz w:val="20"/>
                <w:szCs w:val="20"/>
              </w:rPr>
            </w:pPr>
            <w:r>
              <w:rPr>
                <w:sz w:val="20"/>
                <w:szCs w:val="20"/>
              </w:rPr>
              <w:t>7.3%</w:t>
            </w:r>
          </w:p>
        </w:tc>
        <w:tc>
          <w:tcPr>
            <w:tcW w:w="1597" w:type="dxa"/>
            <w:vAlign w:val="center"/>
          </w:tcPr>
          <w:p w:rsidR="008E39BB" w:rsidRDefault="008E39BB" w:rsidP="008E39BB">
            <w:pPr>
              <w:widowControl w:val="0"/>
              <w:jc w:val="center"/>
              <w:rPr>
                <w:sz w:val="20"/>
                <w:szCs w:val="20"/>
              </w:rPr>
            </w:pPr>
            <w:r>
              <w:rPr>
                <w:sz w:val="20"/>
                <w:szCs w:val="20"/>
              </w:rPr>
              <w:t>11.0%</w:t>
            </w:r>
          </w:p>
        </w:tc>
        <w:tc>
          <w:tcPr>
            <w:tcW w:w="1597" w:type="dxa"/>
            <w:vAlign w:val="center"/>
          </w:tcPr>
          <w:p w:rsidR="008E39BB" w:rsidRDefault="008E39BB" w:rsidP="008E39BB">
            <w:pPr>
              <w:widowControl w:val="0"/>
              <w:jc w:val="center"/>
              <w:rPr>
                <w:sz w:val="20"/>
                <w:szCs w:val="20"/>
              </w:rPr>
            </w:pPr>
            <w:r>
              <w:rPr>
                <w:sz w:val="20"/>
                <w:szCs w:val="20"/>
              </w:rPr>
              <w:t>1.8%</w:t>
            </w:r>
          </w:p>
        </w:tc>
        <w:tc>
          <w:tcPr>
            <w:tcW w:w="1597" w:type="dxa"/>
            <w:vAlign w:val="center"/>
          </w:tcPr>
          <w:p w:rsidR="008E39BB" w:rsidRDefault="008E39BB" w:rsidP="008E39BB">
            <w:pPr>
              <w:widowControl w:val="0"/>
              <w:jc w:val="center"/>
              <w:rPr>
                <w:sz w:val="20"/>
                <w:szCs w:val="20"/>
              </w:rPr>
            </w:pPr>
            <w:r>
              <w:rPr>
                <w:sz w:val="20"/>
                <w:szCs w:val="20"/>
              </w:rPr>
              <w:t>1.1%</w:t>
            </w:r>
          </w:p>
        </w:tc>
        <w:tc>
          <w:tcPr>
            <w:tcW w:w="1176" w:type="dxa"/>
            <w:vAlign w:val="center"/>
          </w:tcPr>
          <w:p w:rsidR="008E39BB" w:rsidRDefault="008E39BB" w:rsidP="008E39BB">
            <w:pPr>
              <w:widowControl w:val="0"/>
              <w:jc w:val="center"/>
              <w:rPr>
                <w:sz w:val="20"/>
                <w:szCs w:val="20"/>
              </w:rPr>
            </w:pPr>
            <w:r>
              <w:rPr>
                <w:sz w:val="20"/>
                <w:szCs w:val="20"/>
              </w:rPr>
              <w:t>273</w:t>
            </w:r>
          </w:p>
        </w:tc>
      </w:tr>
      <w:tr w:rsidR="008E39BB" w:rsidTr="008E39BB">
        <w:trPr>
          <w:trHeight w:val="288"/>
          <w:jc w:val="center"/>
        </w:trPr>
        <w:tc>
          <w:tcPr>
            <w:tcW w:w="4086" w:type="dxa"/>
            <w:vAlign w:val="center"/>
          </w:tcPr>
          <w:p w:rsidR="008E39BB" w:rsidRDefault="008E39BB" w:rsidP="00D64323">
            <w:pPr>
              <w:widowControl w:val="0"/>
              <w:jc w:val="center"/>
              <w:rPr>
                <w:sz w:val="20"/>
                <w:szCs w:val="20"/>
              </w:rPr>
            </w:pPr>
            <w:r w:rsidRPr="00C84525">
              <w:rPr>
                <w:i/>
                <w:sz w:val="20"/>
                <w:szCs w:val="20"/>
              </w:rPr>
              <w:t>Debt/TA</w:t>
            </w:r>
            <w:r>
              <w:rPr>
                <w:sz w:val="20"/>
                <w:szCs w:val="20"/>
              </w:rPr>
              <w:t xml:space="preserve"> range </w:t>
            </w:r>
            <w:r>
              <w:rPr>
                <w:rFonts w:cs="Times New Roman"/>
                <w:sz w:val="20"/>
                <w:szCs w:val="20"/>
              </w:rPr>
              <w:t>≤</w:t>
            </w:r>
            <w:r>
              <w:rPr>
                <w:sz w:val="20"/>
                <w:szCs w:val="20"/>
              </w:rPr>
              <w:t xml:space="preserve">  0.150</w:t>
            </w:r>
          </w:p>
        </w:tc>
        <w:tc>
          <w:tcPr>
            <w:tcW w:w="1597" w:type="dxa"/>
            <w:vAlign w:val="center"/>
          </w:tcPr>
          <w:p w:rsidR="008E39BB" w:rsidRDefault="008E39BB" w:rsidP="008E39BB">
            <w:pPr>
              <w:widowControl w:val="0"/>
              <w:jc w:val="center"/>
              <w:rPr>
                <w:sz w:val="20"/>
                <w:szCs w:val="20"/>
              </w:rPr>
            </w:pPr>
            <w:r>
              <w:rPr>
                <w:sz w:val="20"/>
                <w:szCs w:val="20"/>
              </w:rPr>
              <w:t>53.8%</w:t>
            </w:r>
          </w:p>
        </w:tc>
        <w:tc>
          <w:tcPr>
            <w:tcW w:w="1598" w:type="dxa"/>
            <w:vAlign w:val="center"/>
          </w:tcPr>
          <w:p w:rsidR="008E39BB" w:rsidRDefault="008E39BB" w:rsidP="008E39BB">
            <w:pPr>
              <w:widowControl w:val="0"/>
              <w:jc w:val="center"/>
              <w:rPr>
                <w:sz w:val="20"/>
                <w:szCs w:val="20"/>
              </w:rPr>
            </w:pPr>
            <w:r>
              <w:rPr>
                <w:sz w:val="20"/>
                <w:szCs w:val="20"/>
              </w:rPr>
              <w:t>16.7%</w:t>
            </w:r>
          </w:p>
        </w:tc>
        <w:tc>
          <w:tcPr>
            <w:tcW w:w="1597" w:type="dxa"/>
            <w:vAlign w:val="center"/>
          </w:tcPr>
          <w:p w:rsidR="008E39BB" w:rsidRDefault="008E39BB" w:rsidP="008E39BB">
            <w:pPr>
              <w:widowControl w:val="0"/>
              <w:jc w:val="center"/>
              <w:rPr>
                <w:sz w:val="20"/>
                <w:szCs w:val="20"/>
              </w:rPr>
            </w:pPr>
            <w:r>
              <w:rPr>
                <w:sz w:val="20"/>
                <w:szCs w:val="20"/>
              </w:rPr>
              <w:t>20.1%</w:t>
            </w:r>
          </w:p>
        </w:tc>
        <w:tc>
          <w:tcPr>
            <w:tcW w:w="1597" w:type="dxa"/>
            <w:vAlign w:val="center"/>
          </w:tcPr>
          <w:p w:rsidR="008E39BB" w:rsidRDefault="008E39BB" w:rsidP="008E39BB">
            <w:pPr>
              <w:widowControl w:val="0"/>
              <w:jc w:val="center"/>
              <w:rPr>
                <w:sz w:val="20"/>
                <w:szCs w:val="20"/>
              </w:rPr>
            </w:pPr>
            <w:r>
              <w:rPr>
                <w:sz w:val="20"/>
                <w:szCs w:val="20"/>
              </w:rPr>
              <w:t>5.3%</w:t>
            </w:r>
          </w:p>
        </w:tc>
        <w:tc>
          <w:tcPr>
            <w:tcW w:w="1597" w:type="dxa"/>
            <w:vAlign w:val="center"/>
          </w:tcPr>
          <w:p w:rsidR="008E39BB" w:rsidRDefault="008E39BB" w:rsidP="008E39BB">
            <w:pPr>
              <w:widowControl w:val="0"/>
              <w:jc w:val="center"/>
              <w:rPr>
                <w:sz w:val="20"/>
                <w:szCs w:val="20"/>
              </w:rPr>
            </w:pPr>
            <w:r>
              <w:rPr>
                <w:sz w:val="20"/>
                <w:szCs w:val="20"/>
              </w:rPr>
              <w:t>4.1%</w:t>
            </w:r>
          </w:p>
        </w:tc>
        <w:tc>
          <w:tcPr>
            <w:tcW w:w="1176" w:type="dxa"/>
            <w:vAlign w:val="center"/>
          </w:tcPr>
          <w:p w:rsidR="008E39BB" w:rsidRDefault="008E39BB" w:rsidP="008E39BB">
            <w:pPr>
              <w:widowControl w:val="0"/>
              <w:jc w:val="center"/>
              <w:rPr>
                <w:sz w:val="20"/>
                <w:szCs w:val="20"/>
              </w:rPr>
            </w:pPr>
            <w:r>
              <w:rPr>
                <w:sz w:val="20"/>
                <w:szCs w:val="20"/>
              </w:rPr>
              <w:t>617</w:t>
            </w:r>
          </w:p>
        </w:tc>
      </w:tr>
      <w:tr w:rsidR="008E39BB" w:rsidTr="00DE2A70">
        <w:trPr>
          <w:trHeight w:val="288"/>
          <w:jc w:val="center"/>
        </w:trPr>
        <w:tc>
          <w:tcPr>
            <w:tcW w:w="4086" w:type="dxa"/>
            <w:tcBorders>
              <w:bottom w:val="single" w:sz="4" w:space="0" w:color="auto"/>
            </w:tcBorders>
            <w:vAlign w:val="center"/>
          </w:tcPr>
          <w:p w:rsidR="008E39BB" w:rsidRDefault="008E39BB" w:rsidP="00D64323">
            <w:pPr>
              <w:widowControl w:val="0"/>
              <w:jc w:val="center"/>
              <w:rPr>
                <w:sz w:val="20"/>
                <w:szCs w:val="20"/>
              </w:rPr>
            </w:pPr>
            <w:r w:rsidRPr="00C84525">
              <w:rPr>
                <w:i/>
                <w:sz w:val="20"/>
                <w:szCs w:val="20"/>
              </w:rPr>
              <w:t>Debt/TA</w:t>
            </w:r>
            <w:r>
              <w:rPr>
                <w:sz w:val="20"/>
                <w:szCs w:val="20"/>
              </w:rPr>
              <w:t xml:space="preserve"> range </w:t>
            </w:r>
            <w:r>
              <w:rPr>
                <w:rFonts w:cs="Times New Roman"/>
                <w:sz w:val="20"/>
                <w:szCs w:val="20"/>
              </w:rPr>
              <w:t>≤</w:t>
            </w:r>
            <w:r>
              <w:rPr>
                <w:sz w:val="20"/>
                <w:szCs w:val="20"/>
              </w:rPr>
              <w:t xml:space="preserve">  0.200</w:t>
            </w:r>
          </w:p>
        </w:tc>
        <w:tc>
          <w:tcPr>
            <w:tcW w:w="1597" w:type="dxa"/>
            <w:tcBorders>
              <w:bottom w:val="single" w:sz="4" w:space="0" w:color="auto"/>
            </w:tcBorders>
            <w:vAlign w:val="center"/>
          </w:tcPr>
          <w:p w:rsidR="008E39BB" w:rsidRDefault="008E39BB" w:rsidP="008E39BB">
            <w:pPr>
              <w:widowControl w:val="0"/>
              <w:jc w:val="center"/>
              <w:rPr>
                <w:sz w:val="20"/>
                <w:szCs w:val="20"/>
              </w:rPr>
            </w:pPr>
            <w:r>
              <w:rPr>
                <w:sz w:val="20"/>
                <w:szCs w:val="20"/>
              </w:rPr>
              <w:t>42.9%</w:t>
            </w:r>
          </w:p>
        </w:tc>
        <w:tc>
          <w:tcPr>
            <w:tcW w:w="1598" w:type="dxa"/>
            <w:tcBorders>
              <w:bottom w:val="single" w:sz="4" w:space="0" w:color="auto"/>
            </w:tcBorders>
            <w:vAlign w:val="center"/>
          </w:tcPr>
          <w:p w:rsidR="008E39BB" w:rsidRDefault="008E39BB" w:rsidP="008E39BB">
            <w:pPr>
              <w:widowControl w:val="0"/>
              <w:jc w:val="center"/>
              <w:rPr>
                <w:sz w:val="20"/>
                <w:szCs w:val="20"/>
              </w:rPr>
            </w:pPr>
            <w:r>
              <w:rPr>
                <w:sz w:val="20"/>
                <w:szCs w:val="20"/>
              </w:rPr>
              <w:t>21.5%</w:t>
            </w:r>
          </w:p>
        </w:tc>
        <w:tc>
          <w:tcPr>
            <w:tcW w:w="1597" w:type="dxa"/>
            <w:tcBorders>
              <w:bottom w:val="single" w:sz="4" w:space="0" w:color="auto"/>
            </w:tcBorders>
            <w:vAlign w:val="center"/>
          </w:tcPr>
          <w:p w:rsidR="008E39BB" w:rsidRDefault="008E39BB" w:rsidP="008E39BB">
            <w:pPr>
              <w:widowControl w:val="0"/>
              <w:jc w:val="center"/>
              <w:rPr>
                <w:sz w:val="20"/>
                <w:szCs w:val="20"/>
              </w:rPr>
            </w:pPr>
            <w:r>
              <w:rPr>
                <w:sz w:val="20"/>
                <w:szCs w:val="20"/>
              </w:rPr>
              <w:t>22.6%</w:t>
            </w:r>
          </w:p>
        </w:tc>
        <w:tc>
          <w:tcPr>
            <w:tcW w:w="1597" w:type="dxa"/>
            <w:tcBorders>
              <w:bottom w:val="single" w:sz="4" w:space="0" w:color="auto"/>
            </w:tcBorders>
            <w:vAlign w:val="center"/>
          </w:tcPr>
          <w:p w:rsidR="008E39BB" w:rsidRDefault="008E39BB" w:rsidP="008E39BB">
            <w:pPr>
              <w:widowControl w:val="0"/>
              <w:jc w:val="center"/>
              <w:rPr>
                <w:sz w:val="20"/>
                <w:szCs w:val="20"/>
              </w:rPr>
            </w:pPr>
            <w:r>
              <w:rPr>
                <w:sz w:val="20"/>
                <w:szCs w:val="20"/>
              </w:rPr>
              <w:t>9.3%</w:t>
            </w:r>
          </w:p>
        </w:tc>
        <w:tc>
          <w:tcPr>
            <w:tcW w:w="1597" w:type="dxa"/>
            <w:tcBorders>
              <w:bottom w:val="single" w:sz="4" w:space="0" w:color="auto"/>
            </w:tcBorders>
            <w:vAlign w:val="center"/>
          </w:tcPr>
          <w:p w:rsidR="008E39BB" w:rsidRDefault="008E39BB" w:rsidP="008E39BB">
            <w:pPr>
              <w:widowControl w:val="0"/>
              <w:jc w:val="center"/>
              <w:rPr>
                <w:sz w:val="20"/>
                <w:szCs w:val="20"/>
              </w:rPr>
            </w:pPr>
            <w:r>
              <w:rPr>
                <w:sz w:val="20"/>
                <w:szCs w:val="20"/>
              </w:rPr>
              <w:t>3.8%</w:t>
            </w:r>
          </w:p>
        </w:tc>
        <w:tc>
          <w:tcPr>
            <w:tcW w:w="1176" w:type="dxa"/>
            <w:tcBorders>
              <w:bottom w:val="single" w:sz="4" w:space="0" w:color="auto"/>
            </w:tcBorders>
            <w:vAlign w:val="center"/>
          </w:tcPr>
          <w:p w:rsidR="008E39BB" w:rsidRDefault="008E39BB" w:rsidP="008E39BB">
            <w:pPr>
              <w:widowControl w:val="0"/>
              <w:jc w:val="center"/>
              <w:rPr>
                <w:sz w:val="20"/>
                <w:szCs w:val="20"/>
              </w:rPr>
            </w:pPr>
            <w:r>
              <w:rPr>
                <w:sz w:val="20"/>
                <w:szCs w:val="20"/>
              </w:rPr>
              <w:t>1,015</w:t>
            </w:r>
          </w:p>
        </w:tc>
      </w:tr>
      <w:tr w:rsidR="00520810" w:rsidTr="00DE2A70">
        <w:trPr>
          <w:trHeight w:val="288"/>
          <w:jc w:val="center"/>
        </w:trPr>
        <w:tc>
          <w:tcPr>
            <w:tcW w:w="13248" w:type="dxa"/>
            <w:gridSpan w:val="7"/>
            <w:tcBorders>
              <w:top w:val="single" w:sz="4" w:space="0" w:color="auto"/>
              <w:bottom w:val="single" w:sz="4" w:space="0" w:color="auto"/>
            </w:tcBorders>
            <w:vAlign w:val="center"/>
          </w:tcPr>
          <w:p w:rsidR="00520810" w:rsidRDefault="00520810" w:rsidP="008E39BB">
            <w:pPr>
              <w:widowControl w:val="0"/>
              <w:jc w:val="center"/>
              <w:rPr>
                <w:sz w:val="20"/>
                <w:szCs w:val="20"/>
              </w:rPr>
            </w:pPr>
            <w:r>
              <w:rPr>
                <w:sz w:val="20"/>
                <w:szCs w:val="20"/>
              </w:rPr>
              <w:t>Panel B. Stable leverage regimes of 10 years or more</w:t>
            </w:r>
          </w:p>
        </w:tc>
      </w:tr>
      <w:tr w:rsidR="008E39BB" w:rsidTr="00DE2A70">
        <w:trPr>
          <w:trHeight w:val="288"/>
          <w:jc w:val="center"/>
        </w:trPr>
        <w:tc>
          <w:tcPr>
            <w:tcW w:w="4086" w:type="dxa"/>
            <w:tcBorders>
              <w:top w:val="single" w:sz="4" w:space="0" w:color="auto"/>
            </w:tcBorders>
            <w:vAlign w:val="center"/>
          </w:tcPr>
          <w:p w:rsidR="008E39BB" w:rsidRDefault="008E39BB" w:rsidP="00D64323">
            <w:pPr>
              <w:widowControl w:val="0"/>
              <w:jc w:val="center"/>
              <w:rPr>
                <w:sz w:val="20"/>
                <w:szCs w:val="20"/>
              </w:rPr>
            </w:pPr>
            <w:r w:rsidRPr="00C84525">
              <w:rPr>
                <w:i/>
                <w:sz w:val="20"/>
                <w:szCs w:val="20"/>
              </w:rPr>
              <w:t>Debt/TA</w:t>
            </w:r>
            <w:r>
              <w:rPr>
                <w:sz w:val="20"/>
                <w:szCs w:val="20"/>
              </w:rPr>
              <w:t xml:space="preserve"> range </w:t>
            </w:r>
            <w:r>
              <w:rPr>
                <w:rFonts w:cs="Times New Roman"/>
                <w:sz w:val="20"/>
                <w:szCs w:val="20"/>
              </w:rPr>
              <w:t>≤</w:t>
            </w:r>
            <w:r>
              <w:rPr>
                <w:sz w:val="20"/>
                <w:szCs w:val="20"/>
              </w:rPr>
              <w:t xml:space="preserve">  0.050</w:t>
            </w:r>
          </w:p>
        </w:tc>
        <w:tc>
          <w:tcPr>
            <w:tcW w:w="1597" w:type="dxa"/>
            <w:tcBorders>
              <w:top w:val="single" w:sz="4" w:space="0" w:color="auto"/>
            </w:tcBorders>
            <w:vAlign w:val="center"/>
          </w:tcPr>
          <w:p w:rsidR="008E39BB" w:rsidRDefault="008E39BB" w:rsidP="008E39BB">
            <w:pPr>
              <w:widowControl w:val="0"/>
              <w:jc w:val="center"/>
              <w:rPr>
                <w:sz w:val="20"/>
                <w:szCs w:val="20"/>
              </w:rPr>
            </w:pPr>
            <w:r>
              <w:rPr>
                <w:sz w:val="20"/>
                <w:szCs w:val="20"/>
              </w:rPr>
              <w:t>88.8%</w:t>
            </w:r>
          </w:p>
        </w:tc>
        <w:tc>
          <w:tcPr>
            <w:tcW w:w="1598" w:type="dxa"/>
            <w:tcBorders>
              <w:top w:val="single" w:sz="4" w:space="0" w:color="auto"/>
            </w:tcBorders>
            <w:vAlign w:val="center"/>
          </w:tcPr>
          <w:p w:rsidR="008E39BB" w:rsidRDefault="008E39BB" w:rsidP="008E39BB">
            <w:pPr>
              <w:widowControl w:val="0"/>
              <w:jc w:val="center"/>
              <w:rPr>
                <w:sz w:val="20"/>
                <w:szCs w:val="20"/>
              </w:rPr>
            </w:pPr>
            <w:r>
              <w:rPr>
                <w:sz w:val="20"/>
                <w:szCs w:val="20"/>
              </w:rPr>
              <w:t>3.6%</w:t>
            </w:r>
          </w:p>
        </w:tc>
        <w:tc>
          <w:tcPr>
            <w:tcW w:w="1597" w:type="dxa"/>
            <w:tcBorders>
              <w:top w:val="single" w:sz="4" w:space="0" w:color="auto"/>
            </w:tcBorders>
            <w:vAlign w:val="center"/>
          </w:tcPr>
          <w:p w:rsidR="008E39BB" w:rsidRDefault="008E39BB" w:rsidP="008E39BB">
            <w:pPr>
              <w:widowControl w:val="0"/>
              <w:jc w:val="center"/>
              <w:rPr>
                <w:sz w:val="20"/>
                <w:szCs w:val="20"/>
              </w:rPr>
            </w:pPr>
            <w:r>
              <w:rPr>
                <w:sz w:val="20"/>
                <w:szCs w:val="20"/>
              </w:rPr>
              <w:t>3.3%</w:t>
            </w:r>
          </w:p>
        </w:tc>
        <w:tc>
          <w:tcPr>
            <w:tcW w:w="1597" w:type="dxa"/>
            <w:tcBorders>
              <w:top w:val="single" w:sz="4" w:space="0" w:color="auto"/>
            </w:tcBorders>
            <w:vAlign w:val="center"/>
          </w:tcPr>
          <w:p w:rsidR="008E39BB" w:rsidRDefault="008E39BB" w:rsidP="008E39BB">
            <w:pPr>
              <w:widowControl w:val="0"/>
              <w:jc w:val="center"/>
              <w:rPr>
                <w:sz w:val="20"/>
                <w:szCs w:val="20"/>
              </w:rPr>
            </w:pPr>
            <w:r>
              <w:rPr>
                <w:sz w:val="20"/>
                <w:szCs w:val="20"/>
              </w:rPr>
              <w:t>2.1%</w:t>
            </w:r>
          </w:p>
        </w:tc>
        <w:tc>
          <w:tcPr>
            <w:tcW w:w="1597" w:type="dxa"/>
            <w:tcBorders>
              <w:top w:val="single" w:sz="4" w:space="0" w:color="auto"/>
            </w:tcBorders>
            <w:vAlign w:val="center"/>
          </w:tcPr>
          <w:p w:rsidR="008E39BB" w:rsidRDefault="008E39BB" w:rsidP="008E39BB">
            <w:pPr>
              <w:widowControl w:val="0"/>
              <w:jc w:val="center"/>
              <w:rPr>
                <w:sz w:val="20"/>
                <w:szCs w:val="20"/>
              </w:rPr>
            </w:pPr>
            <w:r>
              <w:rPr>
                <w:sz w:val="20"/>
                <w:szCs w:val="20"/>
              </w:rPr>
              <w:t>2.1%</w:t>
            </w:r>
          </w:p>
        </w:tc>
        <w:tc>
          <w:tcPr>
            <w:tcW w:w="1176" w:type="dxa"/>
            <w:tcBorders>
              <w:top w:val="single" w:sz="4" w:space="0" w:color="auto"/>
            </w:tcBorders>
            <w:vAlign w:val="center"/>
          </w:tcPr>
          <w:p w:rsidR="008E39BB" w:rsidRDefault="008E39BB" w:rsidP="008E39BB">
            <w:pPr>
              <w:widowControl w:val="0"/>
              <w:jc w:val="center"/>
              <w:rPr>
                <w:sz w:val="20"/>
                <w:szCs w:val="20"/>
              </w:rPr>
            </w:pPr>
            <w:r>
              <w:rPr>
                <w:sz w:val="20"/>
                <w:szCs w:val="20"/>
              </w:rPr>
              <w:t>994</w:t>
            </w:r>
          </w:p>
        </w:tc>
      </w:tr>
      <w:tr w:rsidR="008E39BB" w:rsidTr="008E39BB">
        <w:trPr>
          <w:trHeight w:val="288"/>
          <w:jc w:val="center"/>
        </w:trPr>
        <w:tc>
          <w:tcPr>
            <w:tcW w:w="4086" w:type="dxa"/>
            <w:vAlign w:val="center"/>
          </w:tcPr>
          <w:p w:rsidR="008E39BB" w:rsidRDefault="008E39BB" w:rsidP="00D64323">
            <w:pPr>
              <w:widowControl w:val="0"/>
              <w:jc w:val="center"/>
              <w:rPr>
                <w:sz w:val="20"/>
                <w:szCs w:val="20"/>
              </w:rPr>
            </w:pPr>
            <w:r w:rsidRPr="00C84525">
              <w:rPr>
                <w:i/>
                <w:sz w:val="20"/>
                <w:szCs w:val="20"/>
              </w:rPr>
              <w:t>Debt/TA</w:t>
            </w:r>
            <w:r>
              <w:rPr>
                <w:sz w:val="20"/>
                <w:szCs w:val="20"/>
              </w:rPr>
              <w:t xml:space="preserve"> range </w:t>
            </w:r>
            <w:r>
              <w:rPr>
                <w:rFonts w:cs="Times New Roman"/>
                <w:sz w:val="20"/>
                <w:szCs w:val="20"/>
              </w:rPr>
              <w:t>≤</w:t>
            </w:r>
            <w:r>
              <w:rPr>
                <w:sz w:val="20"/>
                <w:szCs w:val="20"/>
              </w:rPr>
              <w:t xml:space="preserve">  0.100</w:t>
            </w:r>
          </w:p>
        </w:tc>
        <w:tc>
          <w:tcPr>
            <w:tcW w:w="1597" w:type="dxa"/>
            <w:vAlign w:val="center"/>
          </w:tcPr>
          <w:p w:rsidR="008E39BB" w:rsidRDefault="008E39BB" w:rsidP="008E39BB">
            <w:pPr>
              <w:widowControl w:val="0"/>
              <w:jc w:val="center"/>
              <w:rPr>
                <w:sz w:val="20"/>
                <w:szCs w:val="20"/>
              </w:rPr>
            </w:pPr>
            <w:r>
              <w:rPr>
                <w:sz w:val="20"/>
                <w:szCs w:val="20"/>
              </w:rPr>
              <w:t>62.2%</w:t>
            </w:r>
          </w:p>
        </w:tc>
        <w:tc>
          <w:tcPr>
            <w:tcW w:w="1598" w:type="dxa"/>
            <w:vAlign w:val="center"/>
          </w:tcPr>
          <w:p w:rsidR="008E39BB" w:rsidRDefault="008E39BB" w:rsidP="008E39BB">
            <w:pPr>
              <w:widowControl w:val="0"/>
              <w:jc w:val="center"/>
              <w:rPr>
                <w:sz w:val="20"/>
                <w:szCs w:val="20"/>
              </w:rPr>
            </w:pPr>
            <w:r>
              <w:rPr>
                <w:sz w:val="20"/>
                <w:szCs w:val="20"/>
              </w:rPr>
              <w:t>11.5%</w:t>
            </w:r>
          </w:p>
        </w:tc>
        <w:tc>
          <w:tcPr>
            <w:tcW w:w="1597" w:type="dxa"/>
            <w:vAlign w:val="center"/>
          </w:tcPr>
          <w:p w:rsidR="008E39BB" w:rsidRDefault="008E39BB" w:rsidP="008E39BB">
            <w:pPr>
              <w:widowControl w:val="0"/>
              <w:jc w:val="center"/>
              <w:rPr>
                <w:sz w:val="20"/>
                <w:szCs w:val="20"/>
              </w:rPr>
            </w:pPr>
            <w:r>
              <w:rPr>
                <w:sz w:val="20"/>
                <w:szCs w:val="20"/>
              </w:rPr>
              <w:t>12.9%</w:t>
            </w:r>
          </w:p>
        </w:tc>
        <w:tc>
          <w:tcPr>
            <w:tcW w:w="1597" w:type="dxa"/>
            <w:vAlign w:val="center"/>
          </w:tcPr>
          <w:p w:rsidR="008E39BB" w:rsidRDefault="008E39BB" w:rsidP="008E39BB">
            <w:pPr>
              <w:widowControl w:val="0"/>
              <w:jc w:val="center"/>
              <w:rPr>
                <w:sz w:val="20"/>
                <w:szCs w:val="20"/>
              </w:rPr>
            </w:pPr>
            <w:r>
              <w:rPr>
                <w:sz w:val="20"/>
                <w:szCs w:val="20"/>
              </w:rPr>
              <w:t>7.2%</w:t>
            </w:r>
          </w:p>
        </w:tc>
        <w:tc>
          <w:tcPr>
            <w:tcW w:w="1597" w:type="dxa"/>
            <w:vAlign w:val="center"/>
          </w:tcPr>
          <w:p w:rsidR="008E39BB" w:rsidRDefault="008E39BB" w:rsidP="008E39BB">
            <w:pPr>
              <w:widowControl w:val="0"/>
              <w:jc w:val="center"/>
              <w:rPr>
                <w:sz w:val="20"/>
                <w:szCs w:val="20"/>
              </w:rPr>
            </w:pPr>
            <w:r>
              <w:rPr>
                <w:sz w:val="20"/>
                <w:szCs w:val="20"/>
              </w:rPr>
              <w:t>6.2%</w:t>
            </w:r>
          </w:p>
        </w:tc>
        <w:tc>
          <w:tcPr>
            <w:tcW w:w="1176" w:type="dxa"/>
            <w:vAlign w:val="center"/>
          </w:tcPr>
          <w:p w:rsidR="008E39BB" w:rsidRDefault="008E39BB" w:rsidP="008E39BB">
            <w:pPr>
              <w:widowControl w:val="0"/>
              <w:jc w:val="center"/>
              <w:rPr>
                <w:sz w:val="20"/>
                <w:szCs w:val="20"/>
              </w:rPr>
            </w:pPr>
            <w:r>
              <w:rPr>
                <w:sz w:val="20"/>
                <w:szCs w:val="20"/>
              </w:rPr>
              <w:t>2,158</w:t>
            </w:r>
          </w:p>
        </w:tc>
      </w:tr>
      <w:tr w:rsidR="008E39BB" w:rsidTr="008E39BB">
        <w:trPr>
          <w:trHeight w:val="288"/>
          <w:jc w:val="center"/>
        </w:trPr>
        <w:tc>
          <w:tcPr>
            <w:tcW w:w="4086" w:type="dxa"/>
            <w:vAlign w:val="center"/>
          </w:tcPr>
          <w:p w:rsidR="008E39BB" w:rsidRDefault="008E39BB" w:rsidP="00D64323">
            <w:pPr>
              <w:widowControl w:val="0"/>
              <w:jc w:val="center"/>
              <w:rPr>
                <w:sz w:val="20"/>
                <w:szCs w:val="20"/>
              </w:rPr>
            </w:pPr>
            <w:r w:rsidRPr="00C84525">
              <w:rPr>
                <w:i/>
                <w:sz w:val="20"/>
                <w:szCs w:val="20"/>
              </w:rPr>
              <w:t>Debt/TA</w:t>
            </w:r>
            <w:r>
              <w:rPr>
                <w:sz w:val="20"/>
                <w:szCs w:val="20"/>
              </w:rPr>
              <w:t xml:space="preserve"> range </w:t>
            </w:r>
            <w:r>
              <w:rPr>
                <w:rFonts w:cs="Times New Roman"/>
                <w:sz w:val="20"/>
                <w:szCs w:val="20"/>
              </w:rPr>
              <w:t>≤</w:t>
            </w:r>
            <w:r>
              <w:rPr>
                <w:sz w:val="20"/>
                <w:szCs w:val="20"/>
              </w:rPr>
              <w:t xml:space="preserve">  0.150</w:t>
            </w:r>
          </w:p>
        </w:tc>
        <w:tc>
          <w:tcPr>
            <w:tcW w:w="1597" w:type="dxa"/>
            <w:vAlign w:val="center"/>
          </w:tcPr>
          <w:p w:rsidR="008E39BB" w:rsidRDefault="008E39BB" w:rsidP="008E39BB">
            <w:pPr>
              <w:widowControl w:val="0"/>
              <w:jc w:val="center"/>
              <w:rPr>
                <w:sz w:val="20"/>
                <w:szCs w:val="20"/>
              </w:rPr>
            </w:pPr>
            <w:r>
              <w:rPr>
                <w:sz w:val="20"/>
                <w:szCs w:val="20"/>
              </w:rPr>
              <w:t>48.7%</w:t>
            </w:r>
          </w:p>
        </w:tc>
        <w:tc>
          <w:tcPr>
            <w:tcW w:w="1598" w:type="dxa"/>
            <w:vAlign w:val="center"/>
          </w:tcPr>
          <w:p w:rsidR="008E39BB" w:rsidRDefault="008E39BB" w:rsidP="008E39BB">
            <w:pPr>
              <w:widowControl w:val="0"/>
              <w:jc w:val="center"/>
              <w:rPr>
                <w:sz w:val="20"/>
                <w:szCs w:val="20"/>
              </w:rPr>
            </w:pPr>
            <w:r>
              <w:rPr>
                <w:sz w:val="20"/>
                <w:szCs w:val="20"/>
              </w:rPr>
              <w:t>14.7%</w:t>
            </w:r>
          </w:p>
        </w:tc>
        <w:tc>
          <w:tcPr>
            <w:tcW w:w="1597" w:type="dxa"/>
            <w:vAlign w:val="center"/>
          </w:tcPr>
          <w:p w:rsidR="008E39BB" w:rsidRDefault="008E39BB" w:rsidP="008E39BB">
            <w:pPr>
              <w:widowControl w:val="0"/>
              <w:jc w:val="center"/>
              <w:rPr>
                <w:sz w:val="20"/>
                <w:szCs w:val="20"/>
              </w:rPr>
            </w:pPr>
            <w:r>
              <w:rPr>
                <w:sz w:val="20"/>
                <w:szCs w:val="20"/>
              </w:rPr>
              <w:t>16.9%</w:t>
            </w:r>
          </w:p>
        </w:tc>
        <w:tc>
          <w:tcPr>
            <w:tcW w:w="1597" w:type="dxa"/>
            <w:vAlign w:val="center"/>
          </w:tcPr>
          <w:p w:rsidR="008E39BB" w:rsidRDefault="008E39BB" w:rsidP="008E39BB">
            <w:pPr>
              <w:widowControl w:val="0"/>
              <w:jc w:val="center"/>
              <w:rPr>
                <w:sz w:val="20"/>
                <w:szCs w:val="20"/>
              </w:rPr>
            </w:pPr>
            <w:r>
              <w:rPr>
                <w:sz w:val="20"/>
                <w:szCs w:val="20"/>
              </w:rPr>
              <w:t>10.8%</w:t>
            </w:r>
          </w:p>
        </w:tc>
        <w:tc>
          <w:tcPr>
            <w:tcW w:w="1597" w:type="dxa"/>
            <w:vAlign w:val="center"/>
          </w:tcPr>
          <w:p w:rsidR="008E39BB" w:rsidRDefault="008E39BB" w:rsidP="008E39BB">
            <w:pPr>
              <w:widowControl w:val="0"/>
              <w:jc w:val="center"/>
              <w:rPr>
                <w:sz w:val="20"/>
                <w:szCs w:val="20"/>
              </w:rPr>
            </w:pPr>
            <w:r>
              <w:rPr>
                <w:sz w:val="20"/>
                <w:szCs w:val="20"/>
              </w:rPr>
              <w:t>8.8%</w:t>
            </w:r>
          </w:p>
        </w:tc>
        <w:tc>
          <w:tcPr>
            <w:tcW w:w="1176" w:type="dxa"/>
            <w:vAlign w:val="center"/>
          </w:tcPr>
          <w:p w:rsidR="008E39BB" w:rsidRDefault="008E39BB" w:rsidP="008E39BB">
            <w:pPr>
              <w:widowControl w:val="0"/>
              <w:jc w:val="center"/>
              <w:rPr>
                <w:sz w:val="20"/>
                <w:szCs w:val="20"/>
              </w:rPr>
            </w:pPr>
            <w:r>
              <w:rPr>
                <w:sz w:val="20"/>
                <w:szCs w:val="20"/>
              </w:rPr>
              <w:t>3,267</w:t>
            </w:r>
          </w:p>
        </w:tc>
      </w:tr>
      <w:tr w:rsidR="008E39BB" w:rsidTr="008E39BB">
        <w:trPr>
          <w:trHeight w:val="288"/>
          <w:jc w:val="center"/>
        </w:trPr>
        <w:tc>
          <w:tcPr>
            <w:tcW w:w="4086" w:type="dxa"/>
            <w:vAlign w:val="center"/>
          </w:tcPr>
          <w:p w:rsidR="008E39BB" w:rsidRDefault="008E39BB" w:rsidP="00D64323">
            <w:pPr>
              <w:widowControl w:val="0"/>
              <w:jc w:val="center"/>
              <w:rPr>
                <w:sz w:val="20"/>
                <w:szCs w:val="20"/>
              </w:rPr>
            </w:pPr>
            <w:r w:rsidRPr="00C84525">
              <w:rPr>
                <w:i/>
                <w:sz w:val="20"/>
                <w:szCs w:val="20"/>
              </w:rPr>
              <w:t>Debt/TA</w:t>
            </w:r>
            <w:r>
              <w:rPr>
                <w:sz w:val="20"/>
                <w:szCs w:val="20"/>
              </w:rPr>
              <w:t xml:space="preserve"> range </w:t>
            </w:r>
            <w:r>
              <w:rPr>
                <w:rFonts w:cs="Times New Roman"/>
                <w:sz w:val="20"/>
                <w:szCs w:val="20"/>
              </w:rPr>
              <w:t>≤</w:t>
            </w:r>
            <w:r>
              <w:rPr>
                <w:sz w:val="20"/>
                <w:szCs w:val="20"/>
              </w:rPr>
              <w:t xml:space="preserve">  0.200</w:t>
            </w:r>
          </w:p>
        </w:tc>
        <w:tc>
          <w:tcPr>
            <w:tcW w:w="1597" w:type="dxa"/>
            <w:vAlign w:val="center"/>
          </w:tcPr>
          <w:p w:rsidR="008E39BB" w:rsidRDefault="008E39BB" w:rsidP="008E39BB">
            <w:pPr>
              <w:widowControl w:val="0"/>
              <w:jc w:val="center"/>
              <w:rPr>
                <w:sz w:val="20"/>
                <w:szCs w:val="20"/>
              </w:rPr>
            </w:pPr>
            <w:r>
              <w:rPr>
                <w:sz w:val="20"/>
                <w:szCs w:val="20"/>
              </w:rPr>
              <w:t>42.7%</w:t>
            </w:r>
          </w:p>
        </w:tc>
        <w:tc>
          <w:tcPr>
            <w:tcW w:w="1598" w:type="dxa"/>
            <w:vAlign w:val="center"/>
          </w:tcPr>
          <w:p w:rsidR="008E39BB" w:rsidRDefault="008E39BB" w:rsidP="008E39BB">
            <w:pPr>
              <w:widowControl w:val="0"/>
              <w:jc w:val="center"/>
              <w:rPr>
                <w:sz w:val="20"/>
                <w:szCs w:val="20"/>
              </w:rPr>
            </w:pPr>
            <w:r>
              <w:rPr>
                <w:sz w:val="20"/>
                <w:szCs w:val="20"/>
              </w:rPr>
              <w:t>16.5%</w:t>
            </w:r>
          </w:p>
        </w:tc>
        <w:tc>
          <w:tcPr>
            <w:tcW w:w="1597" w:type="dxa"/>
            <w:vAlign w:val="center"/>
          </w:tcPr>
          <w:p w:rsidR="008E39BB" w:rsidRDefault="008E39BB" w:rsidP="008E39BB">
            <w:pPr>
              <w:widowControl w:val="0"/>
              <w:jc w:val="center"/>
              <w:rPr>
                <w:sz w:val="20"/>
                <w:szCs w:val="20"/>
              </w:rPr>
            </w:pPr>
            <w:r>
              <w:rPr>
                <w:sz w:val="20"/>
                <w:szCs w:val="20"/>
              </w:rPr>
              <w:t>17.9%</w:t>
            </w:r>
          </w:p>
        </w:tc>
        <w:tc>
          <w:tcPr>
            <w:tcW w:w="1597" w:type="dxa"/>
            <w:vAlign w:val="center"/>
          </w:tcPr>
          <w:p w:rsidR="008E39BB" w:rsidRDefault="008E39BB" w:rsidP="008E39BB">
            <w:pPr>
              <w:widowControl w:val="0"/>
              <w:jc w:val="center"/>
              <w:rPr>
                <w:sz w:val="20"/>
                <w:szCs w:val="20"/>
              </w:rPr>
            </w:pPr>
            <w:r>
              <w:rPr>
                <w:sz w:val="20"/>
                <w:szCs w:val="20"/>
              </w:rPr>
              <w:t>12.4%</w:t>
            </w:r>
          </w:p>
        </w:tc>
        <w:tc>
          <w:tcPr>
            <w:tcW w:w="1597" w:type="dxa"/>
            <w:vAlign w:val="center"/>
          </w:tcPr>
          <w:p w:rsidR="008E39BB" w:rsidRDefault="008E39BB" w:rsidP="008E39BB">
            <w:pPr>
              <w:widowControl w:val="0"/>
              <w:jc w:val="center"/>
              <w:rPr>
                <w:sz w:val="20"/>
                <w:szCs w:val="20"/>
              </w:rPr>
            </w:pPr>
            <w:r>
              <w:rPr>
                <w:sz w:val="20"/>
                <w:szCs w:val="20"/>
              </w:rPr>
              <w:t>10.5%</w:t>
            </w:r>
          </w:p>
        </w:tc>
        <w:tc>
          <w:tcPr>
            <w:tcW w:w="1176" w:type="dxa"/>
            <w:vAlign w:val="center"/>
          </w:tcPr>
          <w:p w:rsidR="008E39BB" w:rsidRDefault="008E39BB" w:rsidP="008E39BB">
            <w:pPr>
              <w:widowControl w:val="0"/>
              <w:jc w:val="center"/>
              <w:rPr>
                <w:sz w:val="20"/>
                <w:szCs w:val="20"/>
              </w:rPr>
            </w:pPr>
            <w:r>
              <w:rPr>
                <w:sz w:val="20"/>
                <w:szCs w:val="20"/>
              </w:rPr>
              <w:t>4,143</w:t>
            </w:r>
          </w:p>
        </w:tc>
      </w:tr>
    </w:tbl>
    <w:p w:rsidR="008E39BB" w:rsidRDefault="008E39BB" w:rsidP="008E39BB">
      <w:pPr>
        <w:widowControl w:val="0"/>
        <w:jc w:val="left"/>
        <w:rPr>
          <w:sz w:val="20"/>
          <w:szCs w:val="20"/>
        </w:rPr>
      </w:pPr>
    </w:p>
    <w:p w:rsidR="008E39BB" w:rsidRDefault="008E39BB" w:rsidP="008E39BB">
      <w:pPr>
        <w:widowControl w:val="0"/>
        <w:jc w:val="left"/>
        <w:rPr>
          <w:sz w:val="20"/>
          <w:szCs w:val="20"/>
        </w:rPr>
      </w:pPr>
    </w:p>
    <w:p w:rsidR="008E39BB" w:rsidRDefault="008E39BB" w:rsidP="008E39BB">
      <w:pPr>
        <w:widowControl w:val="0"/>
        <w:rPr>
          <w:sz w:val="20"/>
          <w:szCs w:val="20"/>
        </w:rPr>
        <w:sectPr w:rsidR="008E39BB" w:rsidSect="00192EC4">
          <w:pgSz w:w="15840" w:h="12240" w:orient="landscape"/>
          <w:pgMar w:top="1296" w:right="1440" w:bottom="1152" w:left="1440" w:header="720" w:footer="720" w:gutter="0"/>
          <w:cols w:space="720"/>
          <w:docGrid w:linePitch="360"/>
        </w:sectPr>
      </w:pPr>
    </w:p>
    <w:p w:rsidR="008E39BB" w:rsidRDefault="008E39BB" w:rsidP="008E39BB">
      <w:pPr>
        <w:widowControl w:val="0"/>
        <w:jc w:val="center"/>
        <w:rPr>
          <w:b/>
          <w:sz w:val="20"/>
          <w:szCs w:val="20"/>
        </w:rPr>
      </w:pPr>
    </w:p>
    <w:p w:rsidR="008E39BB" w:rsidRDefault="008E39BB" w:rsidP="008E39BB">
      <w:pPr>
        <w:widowControl w:val="0"/>
        <w:jc w:val="center"/>
        <w:rPr>
          <w:b/>
          <w:sz w:val="20"/>
          <w:szCs w:val="20"/>
        </w:rPr>
      </w:pPr>
    </w:p>
    <w:p w:rsidR="008E39BB" w:rsidRDefault="0067344F" w:rsidP="008E39BB">
      <w:pPr>
        <w:widowControl w:val="0"/>
        <w:jc w:val="center"/>
        <w:rPr>
          <w:b/>
          <w:sz w:val="20"/>
          <w:szCs w:val="20"/>
        </w:rPr>
      </w:pPr>
      <w:r>
        <w:rPr>
          <w:b/>
          <w:sz w:val="20"/>
          <w:szCs w:val="20"/>
        </w:rPr>
        <w:t xml:space="preserve">Table </w:t>
      </w:r>
      <w:r w:rsidR="00AA4744">
        <w:rPr>
          <w:b/>
          <w:sz w:val="20"/>
          <w:szCs w:val="20"/>
        </w:rPr>
        <w:t>IA.</w:t>
      </w:r>
      <w:r w:rsidR="00E84F3B">
        <w:rPr>
          <w:b/>
          <w:sz w:val="20"/>
          <w:szCs w:val="20"/>
        </w:rPr>
        <w:t>VII</w:t>
      </w:r>
    </w:p>
    <w:p w:rsidR="008E39BB" w:rsidRDefault="008E39BB" w:rsidP="008E39BB">
      <w:pPr>
        <w:widowControl w:val="0"/>
        <w:jc w:val="center"/>
        <w:rPr>
          <w:b/>
          <w:sz w:val="20"/>
          <w:szCs w:val="20"/>
        </w:rPr>
      </w:pPr>
    </w:p>
    <w:p w:rsidR="008E39BB" w:rsidRPr="00E46088" w:rsidRDefault="008E39BB" w:rsidP="008E39BB">
      <w:pPr>
        <w:widowControl w:val="0"/>
        <w:jc w:val="center"/>
        <w:rPr>
          <w:b/>
          <w:sz w:val="20"/>
          <w:szCs w:val="20"/>
        </w:rPr>
      </w:pPr>
      <w:r>
        <w:rPr>
          <w:b/>
          <w:sz w:val="20"/>
          <w:szCs w:val="20"/>
        </w:rPr>
        <w:t>Departures from and Reversions to Stable Leverage Regimes</w:t>
      </w:r>
    </w:p>
    <w:p w:rsidR="008E39BB" w:rsidRDefault="008E39BB" w:rsidP="008E39BB">
      <w:pPr>
        <w:widowControl w:val="0"/>
        <w:rPr>
          <w:sz w:val="20"/>
          <w:szCs w:val="20"/>
        </w:rPr>
      </w:pPr>
    </w:p>
    <w:p w:rsidR="008E39BB" w:rsidRPr="00A5119F" w:rsidRDefault="008E39BB" w:rsidP="008E39BB">
      <w:pPr>
        <w:widowControl w:val="0"/>
        <w:rPr>
          <w:sz w:val="20"/>
          <w:szCs w:val="20"/>
        </w:rPr>
      </w:pPr>
      <w:r w:rsidRPr="00A5119F">
        <w:rPr>
          <w:sz w:val="20"/>
          <w:szCs w:val="20"/>
        </w:rPr>
        <w:t xml:space="preserve">A leverage regime is considered stable if the firm’s </w:t>
      </w:r>
      <w:r w:rsidRPr="00C84525">
        <w:rPr>
          <w:i/>
          <w:sz w:val="20"/>
          <w:szCs w:val="20"/>
        </w:rPr>
        <w:t>Debt/Total Assets</w:t>
      </w:r>
      <w:r w:rsidRPr="00A5119F">
        <w:rPr>
          <w:sz w:val="20"/>
          <w:szCs w:val="20"/>
        </w:rPr>
        <w:t xml:space="preserve"> ratio takes values that differ by no more than 0.100 for 10 or more consecutive years.  For each firm that has a stable leverage regime in this sense, the table considers only its longest such regime.  The table also restricts attention to firms that have been listed on Compustat for at least 20 years and that have 10 years of nonmissing data after the end of its stable leverage regime.  There are 575 firms that meet these sampling conditions.  We find qualitatively identical results when we examine (i) the sample of firms with complete data through three years after the end of their stable leverage regimes and (ii) our </w:t>
      </w:r>
      <w:r w:rsidR="009D2579">
        <w:rPr>
          <w:sz w:val="20"/>
          <w:szCs w:val="20"/>
        </w:rPr>
        <w:t>constant-comp</w:t>
      </w:r>
      <w:r w:rsidRPr="00A5119F">
        <w:rPr>
          <w:sz w:val="20"/>
          <w:szCs w:val="20"/>
        </w:rPr>
        <w:t xml:space="preserve">osition </w:t>
      </w:r>
      <w:r>
        <w:rPr>
          <w:sz w:val="20"/>
          <w:szCs w:val="20"/>
        </w:rPr>
        <w:t>sample</w:t>
      </w:r>
      <w:r w:rsidRPr="00A5119F">
        <w:rPr>
          <w:sz w:val="20"/>
          <w:szCs w:val="20"/>
        </w:rPr>
        <w:t>.  For a given firm, the last year of its stable regime is designated event year</w:t>
      </w:r>
      <w:r w:rsidRPr="00AE4127">
        <w:rPr>
          <w:i/>
          <w:sz w:val="20"/>
          <w:szCs w:val="20"/>
        </w:rPr>
        <w:t xml:space="preserve"> t</w:t>
      </w:r>
      <w:r w:rsidRPr="00A5119F">
        <w:rPr>
          <w:sz w:val="20"/>
          <w:szCs w:val="20"/>
        </w:rPr>
        <w:t xml:space="preserve"> = -1 so that </w:t>
      </w:r>
      <w:r w:rsidRPr="00AE4127">
        <w:rPr>
          <w:i/>
          <w:sz w:val="20"/>
          <w:szCs w:val="20"/>
        </w:rPr>
        <w:t>t</w:t>
      </w:r>
      <w:r w:rsidRPr="00A5119F">
        <w:rPr>
          <w:sz w:val="20"/>
          <w:szCs w:val="20"/>
        </w:rPr>
        <w:t xml:space="preserve"> = 0 is the year of its departure from stability, and all other event years are relative to </w:t>
      </w:r>
      <w:r w:rsidRPr="00C84525">
        <w:rPr>
          <w:i/>
          <w:sz w:val="20"/>
          <w:szCs w:val="20"/>
        </w:rPr>
        <w:t>t</w:t>
      </w:r>
      <w:r w:rsidRPr="00A5119F">
        <w:rPr>
          <w:sz w:val="20"/>
          <w:szCs w:val="20"/>
        </w:rPr>
        <w:t xml:space="preserve"> = 0.  Row 1 documents the percent of firms whose </w:t>
      </w:r>
      <w:r w:rsidRPr="00C84525">
        <w:rPr>
          <w:i/>
          <w:sz w:val="20"/>
          <w:szCs w:val="20"/>
        </w:rPr>
        <w:t>Debt/TA</w:t>
      </w:r>
      <w:r w:rsidRPr="00A5119F">
        <w:rPr>
          <w:sz w:val="20"/>
          <w:szCs w:val="20"/>
        </w:rPr>
        <w:t xml:space="preserve"> ratios beginning at </w:t>
      </w:r>
      <w:r w:rsidRPr="00AE4127">
        <w:rPr>
          <w:i/>
          <w:sz w:val="20"/>
          <w:szCs w:val="20"/>
        </w:rPr>
        <w:t>t</w:t>
      </w:r>
      <w:r w:rsidRPr="00A5119F">
        <w:rPr>
          <w:sz w:val="20"/>
          <w:szCs w:val="20"/>
        </w:rPr>
        <w:t xml:space="preserve"> = 0 remain within a range of values that does not exceed 0.100, </w:t>
      </w:r>
      <w:r w:rsidR="00831708">
        <w:rPr>
          <w:sz w:val="20"/>
          <w:szCs w:val="20"/>
        </w:rPr>
        <w:t>that is</w:t>
      </w:r>
      <w:r w:rsidRPr="00A5119F">
        <w:rPr>
          <w:sz w:val="20"/>
          <w:szCs w:val="20"/>
        </w:rPr>
        <w:t xml:space="preserve">, that enter a new stable leverage regime (per the same stability criterion described above).  Row 3 reports the percent of firms with </w:t>
      </w:r>
      <w:r w:rsidRPr="00C84525">
        <w:rPr>
          <w:i/>
          <w:sz w:val="20"/>
          <w:szCs w:val="20"/>
        </w:rPr>
        <w:t>Debt/TA</w:t>
      </w:r>
      <w:r w:rsidRPr="00A5119F">
        <w:rPr>
          <w:sz w:val="20"/>
          <w:szCs w:val="20"/>
        </w:rPr>
        <w:t xml:space="preserve"> ratios that fall within the bounds of the earlier stable regime,</w:t>
      </w:r>
      <w:r w:rsidR="00831708">
        <w:rPr>
          <w:sz w:val="20"/>
          <w:szCs w:val="20"/>
        </w:rPr>
        <w:t xml:space="preserve"> that is</w:t>
      </w:r>
      <w:r w:rsidRPr="00A5119F">
        <w:rPr>
          <w:sz w:val="20"/>
          <w:szCs w:val="20"/>
        </w:rPr>
        <w:t xml:space="preserve">, this row documents the extent to which leverage reverts back to the zone it consistently inhabited for at least 10 years prior to </w:t>
      </w:r>
      <w:r w:rsidRPr="00C84525">
        <w:rPr>
          <w:i/>
          <w:sz w:val="20"/>
          <w:szCs w:val="20"/>
        </w:rPr>
        <w:t>t</w:t>
      </w:r>
      <w:r w:rsidRPr="00A5119F">
        <w:rPr>
          <w:sz w:val="20"/>
          <w:szCs w:val="20"/>
        </w:rPr>
        <w:t xml:space="preserve"> = 0.  The frequencies with which leverage remains outside that earlier stable zone are reported in rows 2, 4, 5, and 6.  Row 7 (row 9) reports the frequency that a firm’s dollar value of debt outstanding in the event year in question exceeds (falls below) its value in year </w:t>
      </w:r>
      <w:r w:rsidRPr="00C84525">
        <w:rPr>
          <w:i/>
          <w:sz w:val="20"/>
          <w:szCs w:val="20"/>
        </w:rPr>
        <w:t>t</w:t>
      </w:r>
      <w:r w:rsidRPr="00A5119F">
        <w:rPr>
          <w:sz w:val="20"/>
          <w:szCs w:val="20"/>
        </w:rPr>
        <w:t xml:space="preserve"> = -1.   Row 8 (row 10) reports the frequency that this debt amount does not exceed (does not fall below) its </w:t>
      </w:r>
      <w:r w:rsidRPr="00C84525">
        <w:rPr>
          <w:i/>
          <w:sz w:val="20"/>
          <w:szCs w:val="20"/>
        </w:rPr>
        <w:t>t</w:t>
      </w:r>
      <w:r w:rsidRPr="00A5119F">
        <w:rPr>
          <w:sz w:val="20"/>
          <w:szCs w:val="20"/>
        </w:rPr>
        <w:t xml:space="preserve"> = -1 value.</w:t>
      </w:r>
    </w:p>
    <w:p w:rsidR="008E39BB" w:rsidRDefault="008E39BB" w:rsidP="008E39BB">
      <w:pPr>
        <w:widowControl w:val="0"/>
        <w:rPr>
          <w:sz w:val="20"/>
          <w:szCs w:val="20"/>
        </w:rPr>
      </w:pPr>
    </w:p>
    <w:tbl>
      <w:tblPr>
        <w:tblStyle w:val="TableGrid"/>
        <w:tblW w:w="13577" w:type="dxa"/>
        <w:jc w:val="center"/>
        <w:tblBorders>
          <w:left w:val="none" w:sz="0" w:space="0" w:color="auto"/>
          <w:right w:val="none" w:sz="0" w:space="0" w:color="auto"/>
          <w:insideH w:val="none" w:sz="0" w:space="0" w:color="auto"/>
          <w:insideV w:val="none" w:sz="0" w:space="0" w:color="auto"/>
        </w:tblBorders>
        <w:tblLook w:val="04A0"/>
      </w:tblPr>
      <w:tblGrid>
        <w:gridCol w:w="5328"/>
        <w:gridCol w:w="1088"/>
        <w:gridCol w:w="1053"/>
        <w:gridCol w:w="1048"/>
        <w:gridCol w:w="1048"/>
        <w:gridCol w:w="1048"/>
        <w:gridCol w:w="981"/>
        <w:gridCol w:w="981"/>
        <w:gridCol w:w="1002"/>
      </w:tblGrid>
      <w:tr w:rsidR="008E39BB" w:rsidTr="00DE2A70">
        <w:trPr>
          <w:jc w:val="center"/>
        </w:trPr>
        <w:tc>
          <w:tcPr>
            <w:tcW w:w="5328" w:type="dxa"/>
            <w:tcBorders>
              <w:top w:val="single" w:sz="4" w:space="0" w:color="000000" w:themeColor="text1"/>
              <w:bottom w:val="nil"/>
            </w:tcBorders>
          </w:tcPr>
          <w:p w:rsidR="008E39BB" w:rsidRDefault="008E39BB" w:rsidP="008E39BB">
            <w:pPr>
              <w:widowControl w:val="0"/>
              <w:jc w:val="center"/>
              <w:rPr>
                <w:sz w:val="20"/>
                <w:szCs w:val="20"/>
              </w:rPr>
            </w:pPr>
          </w:p>
        </w:tc>
        <w:tc>
          <w:tcPr>
            <w:tcW w:w="8249" w:type="dxa"/>
            <w:gridSpan w:val="8"/>
            <w:tcBorders>
              <w:top w:val="single" w:sz="4" w:space="0" w:color="000000" w:themeColor="text1"/>
              <w:bottom w:val="single" w:sz="4" w:space="0" w:color="auto"/>
            </w:tcBorders>
          </w:tcPr>
          <w:p w:rsidR="008E39BB" w:rsidRDefault="00C84525" w:rsidP="008E39BB">
            <w:pPr>
              <w:widowControl w:val="0"/>
              <w:jc w:val="center"/>
              <w:rPr>
                <w:sz w:val="20"/>
                <w:szCs w:val="20"/>
              </w:rPr>
            </w:pPr>
            <w:r>
              <w:rPr>
                <w:sz w:val="20"/>
                <w:szCs w:val="20"/>
              </w:rPr>
              <w:t xml:space="preserve">                           % </w:t>
            </w:r>
            <w:r w:rsidR="008E39BB">
              <w:rPr>
                <w:sz w:val="20"/>
                <w:szCs w:val="20"/>
              </w:rPr>
              <w:t>of firms in specified year</w:t>
            </w:r>
          </w:p>
          <w:p w:rsidR="008E39BB" w:rsidRDefault="008E39BB" w:rsidP="008E39BB">
            <w:pPr>
              <w:widowControl w:val="0"/>
              <w:jc w:val="center"/>
              <w:rPr>
                <w:sz w:val="20"/>
                <w:szCs w:val="20"/>
              </w:rPr>
            </w:pPr>
            <w:r>
              <w:rPr>
                <w:sz w:val="20"/>
                <w:szCs w:val="20"/>
              </w:rPr>
              <w:t xml:space="preserve">                  (relative to year 0 departure from stable leverage regime):</w:t>
            </w:r>
          </w:p>
        </w:tc>
      </w:tr>
      <w:tr w:rsidR="008E39BB" w:rsidTr="00DE2A70">
        <w:trPr>
          <w:jc w:val="center"/>
        </w:trPr>
        <w:tc>
          <w:tcPr>
            <w:tcW w:w="5328" w:type="dxa"/>
            <w:tcBorders>
              <w:top w:val="nil"/>
              <w:bottom w:val="single" w:sz="4" w:space="0" w:color="000000" w:themeColor="text1"/>
            </w:tcBorders>
          </w:tcPr>
          <w:p w:rsidR="008E39BB" w:rsidRDefault="008E39BB" w:rsidP="008E39BB">
            <w:pPr>
              <w:widowControl w:val="0"/>
              <w:jc w:val="center"/>
              <w:rPr>
                <w:sz w:val="20"/>
                <w:szCs w:val="20"/>
              </w:rPr>
            </w:pPr>
          </w:p>
        </w:tc>
        <w:tc>
          <w:tcPr>
            <w:tcW w:w="1088" w:type="dxa"/>
            <w:tcBorders>
              <w:top w:val="single" w:sz="4" w:space="0" w:color="auto"/>
              <w:bottom w:val="single" w:sz="4" w:space="0" w:color="000000" w:themeColor="text1"/>
            </w:tcBorders>
          </w:tcPr>
          <w:p w:rsidR="008E39BB" w:rsidRDefault="008E39BB" w:rsidP="008E39BB">
            <w:pPr>
              <w:widowControl w:val="0"/>
              <w:jc w:val="right"/>
              <w:rPr>
                <w:sz w:val="20"/>
                <w:szCs w:val="20"/>
              </w:rPr>
            </w:pPr>
            <w:r>
              <w:rPr>
                <w:sz w:val="20"/>
                <w:szCs w:val="20"/>
              </w:rPr>
              <w:t>-1</w:t>
            </w:r>
          </w:p>
        </w:tc>
        <w:tc>
          <w:tcPr>
            <w:tcW w:w="1053" w:type="dxa"/>
            <w:tcBorders>
              <w:top w:val="single" w:sz="4" w:space="0" w:color="auto"/>
              <w:bottom w:val="single" w:sz="4" w:space="0" w:color="000000" w:themeColor="text1"/>
            </w:tcBorders>
          </w:tcPr>
          <w:p w:rsidR="008E39BB" w:rsidRDefault="008E39BB" w:rsidP="008E39BB">
            <w:pPr>
              <w:widowControl w:val="0"/>
              <w:jc w:val="right"/>
              <w:rPr>
                <w:sz w:val="20"/>
                <w:szCs w:val="20"/>
              </w:rPr>
            </w:pPr>
            <w:r>
              <w:rPr>
                <w:sz w:val="20"/>
                <w:szCs w:val="20"/>
              </w:rPr>
              <w:t>0</w:t>
            </w:r>
          </w:p>
        </w:tc>
        <w:tc>
          <w:tcPr>
            <w:tcW w:w="1048" w:type="dxa"/>
            <w:tcBorders>
              <w:top w:val="single" w:sz="4" w:space="0" w:color="auto"/>
              <w:bottom w:val="single" w:sz="4" w:space="0" w:color="000000" w:themeColor="text1"/>
            </w:tcBorders>
          </w:tcPr>
          <w:p w:rsidR="008E39BB" w:rsidRDefault="008E39BB" w:rsidP="008E39BB">
            <w:pPr>
              <w:widowControl w:val="0"/>
              <w:jc w:val="right"/>
              <w:rPr>
                <w:sz w:val="20"/>
                <w:szCs w:val="20"/>
              </w:rPr>
            </w:pPr>
            <w:r>
              <w:rPr>
                <w:sz w:val="20"/>
                <w:szCs w:val="20"/>
              </w:rPr>
              <w:t>1</w:t>
            </w:r>
          </w:p>
        </w:tc>
        <w:tc>
          <w:tcPr>
            <w:tcW w:w="1048" w:type="dxa"/>
            <w:tcBorders>
              <w:top w:val="single" w:sz="4" w:space="0" w:color="auto"/>
              <w:bottom w:val="single" w:sz="4" w:space="0" w:color="000000" w:themeColor="text1"/>
            </w:tcBorders>
          </w:tcPr>
          <w:p w:rsidR="008E39BB" w:rsidRDefault="008E39BB" w:rsidP="008E39BB">
            <w:pPr>
              <w:widowControl w:val="0"/>
              <w:jc w:val="right"/>
              <w:rPr>
                <w:sz w:val="20"/>
                <w:szCs w:val="20"/>
              </w:rPr>
            </w:pPr>
            <w:r>
              <w:rPr>
                <w:sz w:val="20"/>
                <w:szCs w:val="20"/>
              </w:rPr>
              <w:t>2</w:t>
            </w:r>
          </w:p>
        </w:tc>
        <w:tc>
          <w:tcPr>
            <w:tcW w:w="1048" w:type="dxa"/>
            <w:tcBorders>
              <w:top w:val="single" w:sz="4" w:space="0" w:color="auto"/>
              <w:bottom w:val="single" w:sz="4" w:space="0" w:color="000000" w:themeColor="text1"/>
            </w:tcBorders>
          </w:tcPr>
          <w:p w:rsidR="008E39BB" w:rsidRDefault="008E39BB" w:rsidP="008E39BB">
            <w:pPr>
              <w:widowControl w:val="0"/>
              <w:jc w:val="right"/>
              <w:rPr>
                <w:sz w:val="20"/>
                <w:szCs w:val="20"/>
              </w:rPr>
            </w:pPr>
            <w:r>
              <w:rPr>
                <w:sz w:val="20"/>
                <w:szCs w:val="20"/>
              </w:rPr>
              <w:t>3</w:t>
            </w:r>
          </w:p>
        </w:tc>
        <w:tc>
          <w:tcPr>
            <w:tcW w:w="981" w:type="dxa"/>
            <w:tcBorders>
              <w:top w:val="single" w:sz="4" w:space="0" w:color="auto"/>
              <w:bottom w:val="single" w:sz="4" w:space="0" w:color="000000" w:themeColor="text1"/>
            </w:tcBorders>
          </w:tcPr>
          <w:p w:rsidR="008E39BB" w:rsidRDefault="008E39BB" w:rsidP="008E39BB">
            <w:pPr>
              <w:widowControl w:val="0"/>
              <w:jc w:val="right"/>
              <w:rPr>
                <w:sz w:val="20"/>
                <w:szCs w:val="20"/>
              </w:rPr>
            </w:pPr>
            <w:r>
              <w:rPr>
                <w:sz w:val="20"/>
                <w:szCs w:val="20"/>
              </w:rPr>
              <w:t>4</w:t>
            </w:r>
          </w:p>
        </w:tc>
        <w:tc>
          <w:tcPr>
            <w:tcW w:w="981" w:type="dxa"/>
            <w:tcBorders>
              <w:top w:val="single" w:sz="4" w:space="0" w:color="auto"/>
              <w:bottom w:val="single" w:sz="4" w:space="0" w:color="000000" w:themeColor="text1"/>
            </w:tcBorders>
          </w:tcPr>
          <w:p w:rsidR="008E39BB" w:rsidRDefault="008E39BB" w:rsidP="008E39BB">
            <w:pPr>
              <w:widowControl w:val="0"/>
              <w:jc w:val="right"/>
              <w:rPr>
                <w:sz w:val="20"/>
                <w:szCs w:val="20"/>
              </w:rPr>
            </w:pPr>
            <w:r>
              <w:rPr>
                <w:sz w:val="20"/>
                <w:szCs w:val="20"/>
              </w:rPr>
              <w:t>5</w:t>
            </w:r>
          </w:p>
        </w:tc>
        <w:tc>
          <w:tcPr>
            <w:tcW w:w="1002" w:type="dxa"/>
            <w:tcBorders>
              <w:top w:val="single" w:sz="4" w:space="0" w:color="auto"/>
              <w:bottom w:val="single" w:sz="4" w:space="0" w:color="000000" w:themeColor="text1"/>
            </w:tcBorders>
          </w:tcPr>
          <w:p w:rsidR="008E39BB" w:rsidRDefault="008E39BB" w:rsidP="008E39BB">
            <w:pPr>
              <w:widowControl w:val="0"/>
              <w:jc w:val="right"/>
              <w:rPr>
                <w:sz w:val="20"/>
                <w:szCs w:val="20"/>
              </w:rPr>
            </w:pPr>
            <w:r>
              <w:rPr>
                <w:sz w:val="20"/>
                <w:szCs w:val="20"/>
              </w:rPr>
              <w:t>10</w:t>
            </w:r>
          </w:p>
        </w:tc>
      </w:tr>
      <w:tr w:rsidR="008E39BB" w:rsidTr="008E39BB">
        <w:trPr>
          <w:trHeight w:val="144"/>
          <w:jc w:val="center"/>
        </w:trPr>
        <w:tc>
          <w:tcPr>
            <w:tcW w:w="5328" w:type="dxa"/>
          </w:tcPr>
          <w:p w:rsidR="008E39BB" w:rsidRDefault="008E39BB" w:rsidP="008E39BB">
            <w:pPr>
              <w:widowControl w:val="0"/>
              <w:rPr>
                <w:sz w:val="20"/>
                <w:szCs w:val="20"/>
              </w:rPr>
            </w:pPr>
            <w:r>
              <w:rPr>
                <w:sz w:val="20"/>
                <w:szCs w:val="20"/>
              </w:rPr>
              <w:t>Establishment of a new stable leverage regime:</w:t>
            </w:r>
          </w:p>
        </w:tc>
        <w:tc>
          <w:tcPr>
            <w:tcW w:w="1088" w:type="dxa"/>
          </w:tcPr>
          <w:p w:rsidR="008E39BB" w:rsidRDefault="008E39BB" w:rsidP="008E39BB">
            <w:pPr>
              <w:widowControl w:val="0"/>
              <w:jc w:val="right"/>
              <w:rPr>
                <w:sz w:val="20"/>
                <w:szCs w:val="20"/>
              </w:rPr>
            </w:pPr>
          </w:p>
        </w:tc>
        <w:tc>
          <w:tcPr>
            <w:tcW w:w="1053"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1002" w:type="dxa"/>
          </w:tcPr>
          <w:p w:rsidR="008E39BB" w:rsidRDefault="008E39BB" w:rsidP="008E39BB">
            <w:pPr>
              <w:widowControl w:val="0"/>
              <w:jc w:val="right"/>
              <w:rPr>
                <w:sz w:val="20"/>
                <w:szCs w:val="20"/>
              </w:rPr>
            </w:pPr>
          </w:p>
        </w:tc>
      </w:tr>
      <w:tr w:rsidR="008E39BB" w:rsidTr="008E39BB">
        <w:trPr>
          <w:trHeight w:val="144"/>
          <w:jc w:val="center"/>
        </w:trPr>
        <w:tc>
          <w:tcPr>
            <w:tcW w:w="5328" w:type="dxa"/>
          </w:tcPr>
          <w:p w:rsidR="008E39BB" w:rsidRPr="00A27468" w:rsidRDefault="008E39BB" w:rsidP="008E39BB">
            <w:pPr>
              <w:widowControl w:val="0"/>
              <w:rPr>
                <w:rFonts w:cs="Times New Roman"/>
                <w:sz w:val="20"/>
                <w:szCs w:val="20"/>
              </w:rPr>
            </w:pPr>
            <w:r>
              <w:rPr>
                <w:rFonts w:cs="Times New Roman"/>
                <w:sz w:val="20"/>
                <w:szCs w:val="20"/>
              </w:rPr>
              <w:t xml:space="preserve">   1. Firms with range of </w:t>
            </w:r>
            <w:r w:rsidRPr="00C84525">
              <w:rPr>
                <w:rFonts w:cs="Times New Roman"/>
                <w:i/>
                <w:sz w:val="20"/>
                <w:szCs w:val="20"/>
              </w:rPr>
              <w:t>Debt/TA</w:t>
            </w:r>
            <w:r w:rsidRPr="00A27468">
              <w:rPr>
                <w:rFonts w:cs="Times New Roman"/>
                <w:sz w:val="20"/>
                <w:szCs w:val="20"/>
              </w:rPr>
              <w:t>≤ 0.100</w:t>
            </w:r>
            <w:r>
              <w:rPr>
                <w:rFonts w:cs="Times New Roman"/>
                <w:sz w:val="20"/>
                <w:szCs w:val="20"/>
              </w:rPr>
              <w:t xml:space="preserve"> beginning at </w:t>
            </w:r>
            <w:r w:rsidRPr="00AE4127">
              <w:rPr>
                <w:rFonts w:cs="Times New Roman"/>
                <w:i/>
                <w:sz w:val="20"/>
                <w:szCs w:val="20"/>
              </w:rPr>
              <w:t>t</w:t>
            </w:r>
            <w:r>
              <w:rPr>
                <w:rFonts w:cs="Times New Roman"/>
                <w:sz w:val="20"/>
                <w:szCs w:val="20"/>
              </w:rPr>
              <w:t xml:space="preserve"> = 0</w:t>
            </w:r>
          </w:p>
        </w:tc>
        <w:tc>
          <w:tcPr>
            <w:tcW w:w="1088" w:type="dxa"/>
          </w:tcPr>
          <w:p w:rsidR="008E39BB" w:rsidRPr="00A27468" w:rsidRDefault="008E39BB" w:rsidP="008E39BB">
            <w:pPr>
              <w:widowControl w:val="0"/>
              <w:jc w:val="right"/>
              <w:rPr>
                <w:rFonts w:cs="Times New Roman"/>
                <w:sz w:val="20"/>
                <w:szCs w:val="20"/>
              </w:rPr>
            </w:pPr>
            <w:r w:rsidRPr="00A27468">
              <w:rPr>
                <w:rFonts w:cs="Times New Roman"/>
                <w:sz w:val="20"/>
                <w:szCs w:val="20"/>
              </w:rPr>
              <w:t>---</w:t>
            </w:r>
          </w:p>
        </w:tc>
        <w:tc>
          <w:tcPr>
            <w:tcW w:w="1053" w:type="dxa"/>
            <w:vAlign w:val="bottom"/>
          </w:tcPr>
          <w:p w:rsidR="008E39BB" w:rsidRPr="006A3FDD" w:rsidRDefault="008E39BB" w:rsidP="008E39BB">
            <w:pPr>
              <w:jc w:val="right"/>
              <w:rPr>
                <w:rFonts w:cs="Times New Roman"/>
                <w:color w:val="000000"/>
                <w:sz w:val="20"/>
                <w:szCs w:val="20"/>
              </w:rPr>
            </w:pPr>
            <w:r w:rsidRPr="006A3FDD">
              <w:rPr>
                <w:rFonts w:cs="Times New Roman"/>
                <w:color w:val="000000"/>
                <w:sz w:val="20"/>
                <w:szCs w:val="20"/>
              </w:rPr>
              <w:t>100.0%</w:t>
            </w:r>
          </w:p>
        </w:tc>
        <w:tc>
          <w:tcPr>
            <w:tcW w:w="1048" w:type="dxa"/>
            <w:vAlign w:val="bottom"/>
          </w:tcPr>
          <w:p w:rsidR="008E39BB" w:rsidRPr="006A3FDD" w:rsidRDefault="008E39BB" w:rsidP="008E39BB">
            <w:pPr>
              <w:jc w:val="right"/>
              <w:rPr>
                <w:rFonts w:cs="Times New Roman"/>
                <w:color w:val="000000"/>
                <w:sz w:val="20"/>
                <w:szCs w:val="20"/>
              </w:rPr>
            </w:pPr>
            <w:r w:rsidRPr="006A3FDD">
              <w:rPr>
                <w:rFonts w:cs="Times New Roman"/>
                <w:color w:val="000000"/>
                <w:sz w:val="20"/>
                <w:szCs w:val="20"/>
              </w:rPr>
              <w:t>87.3%</w:t>
            </w:r>
          </w:p>
        </w:tc>
        <w:tc>
          <w:tcPr>
            <w:tcW w:w="1048" w:type="dxa"/>
            <w:vAlign w:val="bottom"/>
          </w:tcPr>
          <w:p w:rsidR="008E39BB" w:rsidRPr="006A3FDD" w:rsidRDefault="008E39BB" w:rsidP="008E39BB">
            <w:pPr>
              <w:jc w:val="right"/>
              <w:rPr>
                <w:rFonts w:cs="Times New Roman"/>
                <w:color w:val="000000"/>
                <w:sz w:val="20"/>
                <w:szCs w:val="20"/>
              </w:rPr>
            </w:pPr>
            <w:r w:rsidRPr="006A3FDD">
              <w:rPr>
                <w:rFonts w:cs="Times New Roman"/>
                <w:color w:val="000000"/>
                <w:sz w:val="20"/>
                <w:szCs w:val="20"/>
              </w:rPr>
              <w:t>73.6%</w:t>
            </w:r>
          </w:p>
        </w:tc>
        <w:tc>
          <w:tcPr>
            <w:tcW w:w="1048" w:type="dxa"/>
            <w:vAlign w:val="bottom"/>
          </w:tcPr>
          <w:p w:rsidR="008E39BB" w:rsidRPr="006A3FDD" w:rsidRDefault="008E39BB" w:rsidP="008E39BB">
            <w:pPr>
              <w:jc w:val="right"/>
              <w:rPr>
                <w:rFonts w:cs="Times New Roman"/>
                <w:color w:val="000000"/>
                <w:sz w:val="20"/>
                <w:szCs w:val="20"/>
              </w:rPr>
            </w:pPr>
            <w:r w:rsidRPr="006A3FDD">
              <w:rPr>
                <w:rFonts w:cs="Times New Roman"/>
                <w:color w:val="000000"/>
                <w:sz w:val="20"/>
                <w:szCs w:val="20"/>
              </w:rPr>
              <w:t>58.7%</w:t>
            </w:r>
          </w:p>
        </w:tc>
        <w:tc>
          <w:tcPr>
            <w:tcW w:w="981" w:type="dxa"/>
            <w:vAlign w:val="bottom"/>
          </w:tcPr>
          <w:p w:rsidR="008E39BB" w:rsidRPr="006A3FDD" w:rsidRDefault="008E39BB" w:rsidP="008E39BB">
            <w:pPr>
              <w:jc w:val="right"/>
              <w:rPr>
                <w:rFonts w:cs="Times New Roman"/>
                <w:color w:val="000000"/>
                <w:sz w:val="20"/>
                <w:szCs w:val="20"/>
              </w:rPr>
            </w:pPr>
            <w:r w:rsidRPr="006A3FDD">
              <w:rPr>
                <w:rFonts w:cs="Times New Roman"/>
                <w:color w:val="000000"/>
                <w:sz w:val="20"/>
                <w:szCs w:val="20"/>
              </w:rPr>
              <w:t>46.9%</w:t>
            </w:r>
          </w:p>
        </w:tc>
        <w:tc>
          <w:tcPr>
            <w:tcW w:w="981" w:type="dxa"/>
            <w:vAlign w:val="bottom"/>
          </w:tcPr>
          <w:p w:rsidR="008E39BB" w:rsidRPr="006A3FDD" w:rsidRDefault="008E39BB" w:rsidP="008E39BB">
            <w:pPr>
              <w:jc w:val="right"/>
              <w:rPr>
                <w:rFonts w:cs="Times New Roman"/>
                <w:color w:val="000000"/>
                <w:sz w:val="20"/>
                <w:szCs w:val="20"/>
              </w:rPr>
            </w:pPr>
            <w:r w:rsidRPr="006A3FDD">
              <w:rPr>
                <w:rFonts w:cs="Times New Roman"/>
                <w:color w:val="000000"/>
                <w:sz w:val="20"/>
                <w:szCs w:val="20"/>
              </w:rPr>
              <w:t>37.3%</w:t>
            </w:r>
          </w:p>
        </w:tc>
        <w:tc>
          <w:tcPr>
            <w:tcW w:w="1002" w:type="dxa"/>
            <w:vAlign w:val="bottom"/>
          </w:tcPr>
          <w:p w:rsidR="008E39BB" w:rsidRPr="006A3FDD" w:rsidRDefault="008E39BB" w:rsidP="008E39BB">
            <w:pPr>
              <w:jc w:val="right"/>
              <w:rPr>
                <w:rFonts w:cs="Times New Roman"/>
                <w:color w:val="000000"/>
                <w:sz w:val="20"/>
                <w:szCs w:val="20"/>
              </w:rPr>
            </w:pPr>
            <w:r w:rsidRPr="006A3FDD">
              <w:rPr>
                <w:rFonts w:cs="Times New Roman"/>
                <w:color w:val="000000"/>
                <w:sz w:val="20"/>
                <w:szCs w:val="20"/>
              </w:rPr>
              <w:t>5.6%</w:t>
            </w:r>
          </w:p>
        </w:tc>
      </w:tr>
      <w:tr w:rsidR="008E39BB" w:rsidTr="008E39BB">
        <w:trPr>
          <w:trHeight w:val="144"/>
          <w:jc w:val="center"/>
        </w:trPr>
        <w:tc>
          <w:tcPr>
            <w:tcW w:w="5328" w:type="dxa"/>
          </w:tcPr>
          <w:p w:rsidR="008E39BB" w:rsidRDefault="008E39BB" w:rsidP="008E39BB">
            <w:pPr>
              <w:widowControl w:val="0"/>
              <w:jc w:val="left"/>
              <w:rPr>
                <w:sz w:val="20"/>
                <w:szCs w:val="20"/>
              </w:rPr>
            </w:pPr>
          </w:p>
        </w:tc>
        <w:tc>
          <w:tcPr>
            <w:tcW w:w="1088" w:type="dxa"/>
          </w:tcPr>
          <w:p w:rsidR="008E39BB" w:rsidRDefault="008E39BB" w:rsidP="008E39BB">
            <w:pPr>
              <w:widowControl w:val="0"/>
              <w:jc w:val="right"/>
              <w:rPr>
                <w:sz w:val="20"/>
                <w:szCs w:val="20"/>
              </w:rPr>
            </w:pPr>
          </w:p>
        </w:tc>
        <w:tc>
          <w:tcPr>
            <w:tcW w:w="1053"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1002" w:type="dxa"/>
          </w:tcPr>
          <w:p w:rsidR="008E39BB" w:rsidRDefault="008E39BB" w:rsidP="008E39BB">
            <w:pPr>
              <w:widowControl w:val="0"/>
              <w:jc w:val="right"/>
              <w:rPr>
                <w:sz w:val="20"/>
                <w:szCs w:val="20"/>
              </w:rPr>
            </w:pPr>
          </w:p>
        </w:tc>
      </w:tr>
      <w:tr w:rsidR="008E39BB" w:rsidTr="008E39BB">
        <w:trPr>
          <w:trHeight w:val="144"/>
          <w:jc w:val="center"/>
        </w:trPr>
        <w:tc>
          <w:tcPr>
            <w:tcW w:w="5328" w:type="dxa"/>
          </w:tcPr>
          <w:p w:rsidR="008E39BB" w:rsidRDefault="008E39BB" w:rsidP="008E39BB">
            <w:pPr>
              <w:widowControl w:val="0"/>
              <w:jc w:val="left"/>
              <w:rPr>
                <w:sz w:val="20"/>
                <w:szCs w:val="20"/>
              </w:rPr>
            </w:pPr>
            <w:r w:rsidRPr="00C84525">
              <w:rPr>
                <w:i/>
                <w:sz w:val="20"/>
                <w:szCs w:val="20"/>
              </w:rPr>
              <w:t>Debt/TA</w:t>
            </w:r>
            <w:r>
              <w:rPr>
                <w:sz w:val="20"/>
                <w:szCs w:val="20"/>
              </w:rPr>
              <w:t xml:space="preserve"> relative to leverage during regime that ended at </w:t>
            </w:r>
            <w:r w:rsidRPr="00AE4127">
              <w:rPr>
                <w:i/>
                <w:sz w:val="20"/>
                <w:szCs w:val="20"/>
              </w:rPr>
              <w:t>t</w:t>
            </w:r>
            <w:r>
              <w:rPr>
                <w:sz w:val="20"/>
                <w:szCs w:val="20"/>
              </w:rPr>
              <w:t xml:space="preserve"> = -1:</w:t>
            </w:r>
          </w:p>
        </w:tc>
        <w:tc>
          <w:tcPr>
            <w:tcW w:w="1088" w:type="dxa"/>
          </w:tcPr>
          <w:p w:rsidR="008E39BB" w:rsidRDefault="008E39BB" w:rsidP="008E39BB">
            <w:pPr>
              <w:widowControl w:val="0"/>
              <w:jc w:val="right"/>
              <w:rPr>
                <w:sz w:val="20"/>
                <w:szCs w:val="20"/>
              </w:rPr>
            </w:pPr>
          </w:p>
        </w:tc>
        <w:tc>
          <w:tcPr>
            <w:tcW w:w="1053"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1002" w:type="dxa"/>
          </w:tcPr>
          <w:p w:rsidR="008E39BB" w:rsidRDefault="008E39BB" w:rsidP="008E39BB">
            <w:pPr>
              <w:widowControl w:val="0"/>
              <w:jc w:val="right"/>
              <w:rPr>
                <w:sz w:val="20"/>
                <w:szCs w:val="20"/>
              </w:rPr>
            </w:pPr>
          </w:p>
        </w:tc>
      </w:tr>
      <w:tr w:rsidR="008E39BB" w:rsidTr="008E39BB">
        <w:trPr>
          <w:trHeight w:val="144"/>
          <w:jc w:val="center"/>
        </w:trPr>
        <w:tc>
          <w:tcPr>
            <w:tcW w:w="5328" w:type="dxa"/>
          </w:tcPr>
          <w:p w:rsidR="008E39BB" w:rsidRDefault="008E39BB" w:rsidP="008E39BB">
            <w:pPr>
              <w:widowControl w:val="0"/>
              <w:jc w:val="left"/>
              <w:rPr>
                <w:sz w:val="20"/>
                <w:szCs w:val="20"/>
              </w:rPr>
            </w:pPr>
            <w:r>
              <w:rPr>
                <w:sz w:val="20"/>
                <w:szCs w:val="20"/>
              </w:rPr>
              <w:t xml:space="preserve">   2. </w:t>
            </w:r>
            <w:r w:rsidRPr="00C84525">
              <w:rPr>
                <w:i/>
                <w:sz w:val="20"/>
                <w:szCs w:val="20"/>
              </w:rPr>
              <w:t>Debt/TA</w:t>
            </w:r>
            <w:r>
              <w:rPr>
                <w:sz w:val="20"/>
                <w:szCs w:val="20"/>
              </w:rPr>
              <w:t xml:space="preserve"> above high end of earlier stable leverage regime</w:t>
            </w:r>
          </w:p>
        </w:tc>
        <w:tc>
          <w:tcPr>
            <w:tcW w:w="1088" w:type="dxa"/>
          </w:tcPr>
          <w:p w:rsidR="008E39BB" w:rsidRDefault="008E39BB" w:rsidP="008E39BB">
            <w:pPr>
              <w:widowControl w:val="0"/>
              <w:jc w:val="right"/>
              <w:rPr>
                <w:sz w:val="20"/>
                <w:szCs w:val="20"/>
              </w:rPr>
            </w:pPr>
            <w:r>
              <w:rPr>
                <w:sz w:val="20"/>
                <w:szCs w:val="20"/>
              </w:rPr>
              <w:t>0.0%</w:t>
            </w:r>
          </w:p>
        </w:tc>
        <w:tc>
          <w:tcPr>
            <w:tcW w:w="1053"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70.9%</w:t>
            </w:r>
          </w:p>
        </w:tc>
        <w:tc>
          <w:tcPr>
            <w:tcW w:w="1048"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61.3%</w:t>
            </w:r>
          </w:p>
        </w:tc>
        <w:tc>
          <w:tcPr>
            <w:tcW w:w="1048"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60.7%</w:t>
            </w:r>
          </w:p>
        </w:tc>
        <w:tc>
          <w:tcPr>
            <w:tcW w:w="1048"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60.</w:t>
            </w:r>
            <w:r>
              <w:rPr>
                <w:rFonts w:cs="Times New Roman"/>
                <w:color w:val="000000"/>
                <w:sz w:val="20"/>
                <w:szCs w:val="20"/>
              </w:rPr>
              <w:t>1</w:t>
            </w:r>
            <w:r w:rsidRPr="00B97A90">
              <w:rPr>
                <w:rFonts w:cs="Times New Roman"/>
                <w:color w:val="000000"/>
                <w:sz w:val="20"/>
                <w:szCs w:val="20"/>
              </w:rPr>
              <w:t>%</w:t>
            </w:r>
          </w:p>
        </w:tc>
        <w:tc>
          <w:tcPr>
            <w:tcW w:w="981"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60.1%</w:t>
            </w:r>
          </w:p>
        </w:tc>
        <w:tc>
          <w:tcPr>
            <w:tcW w:w="981" w:type="dxa"/>
          </w:tcPr>
          <w:p w:rsidR="008E39BB" w:rsidRDefault="008E39BB" w:rsidP="008E39BB">
            <w:pPr>
              <w:widowControl w:val="0"/>
              <w:jc w:val="right"/>
              <w:rPr>
                <w:sz w:val="20"/>
                <w:szCs w:val="20"/>
              </w:rPr>
            </w:pPr>
            <w:r>
              <w:rPr>
                <w:sz w:val="20"/>
                <w:szCs w:val="20"/>
              </w:rPr>
              <w:t>61.3%</w:t>
            </w:r>
          </w:p>
        </w:tc>
        <w:tc>
          <w:tcPr>
            <w:tcW w:w="1002" w:type="dxa"/>
          </w:tcPr>
          <w:p w:rsidR="008E39BB" w:rsidRDefault="008E39BB" w:rsidP="008E39BB">
            <w:pPr>
              <w:widowControl w:val="0"/>
              <w:jc w:val="right"/>
              <w:rPr>
                <w:sz w:val="20"/>
                <w:szCs w:val="20"/>
              </w:rPr>
            </w:pPr>
            <w:r>
              <w:rPr>
                <w:sz w:val="20"/>
                <w:szCs w:val="20"/>
              </w:rPr>
              <w:t>60.0%</w:t>
            </w:r>
          </w:p>
        </w:tc>
      </w:tr>
      <w:tr w:rsidR="008E39BB" w:rsidTr="008E39BB">
        <w:trPr>
          <w:trHeight w:val="144"/>
          <w:jc w:val="center"/>
        </w:trPr>
        <w:tc>
          <w:tcPr>
            <w:tcW w:w="5328" w:type="dxa"/>
          </w:tcPr>
          <w:p w:rsidR="008E39BB" w:rsidRDefault="008E39BB" w:rsidP="008E39BB">
            <w:pPr>
              <w:widowControl w:val="0"/>
              <w:jc w:val="left"/>
              <w:rPr>
                <w:sz w:val="20"/>
                <w:szCs w:val="20"/>
              </w:rPr>
            </w:pPr>
            <w:r>
              <w:rPr>
                <w:sz w:val="20"/>
                <w:szCs w:val="20"/>
              </w:rPr>
              <w:t xml:space="preserve">   3. </w:t>
            </w:r>
            <w:r w:rsidRPr="00C84525">
              <w:rPr>
                <w:i/>
                <w:sz w:val="20"/>
                <w:szCs w:val="20"/>
              </w:rPr>
              <w:t>Debt/TA</w:t>
            </w:r>
            <w:r>
              <w:rPr>
                <w:sz w:val="20"/>
                <w:szCs w:val="20"/>
              </w:rPr>
              <w:t xml:space="preserve"> within earlier stable leverage regime</w:t>
            </w:r>
          </w:p>
        </w:tc>
        <w:tc>
          <w:tcPr>
            <w:tcW w:w="1088" w:type="dxa"/>
          </w:tcPr>
          <w:p w:rsidR="008E39BB" w:rsidRDefault="008E39BB" w:rsidP="008E39BB">
            <w:pPr>
              <w:widowControl w:val="0"/>
              <w:jc w:val="right"/>
              <w:rPr>
                <w:sz w:val="20"/>
                <w:szCs w:val="20"/>
              </w:rPr>
            </w:pPr>
            <w:r>
              <w:rPr>
                <w:sz w:val="20"/>
                <w:szCs w:val="20"/>
              </w:rPr>
              <w:t>100.0%</w:t>
            </w:r>
          </w:p>
        </w:tc>
        <w:tc>
          <w:tcPr>
            <w:tcW w:w="1053" w:type="dxa"/>
          </w:tcPr>
          <w:p w:rsidR="008E39BB" w:rsidRDefault="008E39BB" w:rsidP="008E39BB">
            <w:pPr>
              <w:widowControl w:val="0"/>
              <w:jc w:val="right"/>
              <w:rPr>
                <w:sz w:val="20"/>
                <w:szCs w:val="20"/>
              </w:rPr>
            </w:pPr>
            <w:r>
              <w:rPr>
                <w:sz w:val="20"/>
                <w:szCs w:val="20"/>
              </w:rPr>
              <w:t>0.0%</w:t>
            </w:r>
          </w:p>
        </w:tc>
        <w:tc>
          <w:tcPr>
            <w:tcW w:w="1048" w:type="dxa"/>
          </w:tcPr>
          <w:p w:rsidR="008E39BB" w:rsidRDefault="008E39BB" w:rsidP="008E39BB">
            <w:pPr>
              <w:widowControl w:val="0"/>
              <w:jc w:val="right"/>
              <w:rPr>
                <w:sz w:val="20"/>
                <w:szCs w:val="20"/>
              </w:rPr>
            </w:pPr>
            <w:r>
              <w:rPr>
                <w:sz w:val="20"/>
                <w:szCs w:val="20"/>
              </w:rPr>
              <w:t>15.9%</w:t>
            </w:r>
          </w:p>
        </w:tc>
        <w:tc>
          <w:tcPr>
            <w:tcW w:w="1048" w:type="dxa"/>
          </w:tcPr>
          <w:p w:rsidR="008E39BB" w:rsidRDefault="008E39BB" w:rsidP="008E39BB">
            <w:pPr>
              <w:widowControl w:val="0"/>
              <w:jc w:val="right"/>
              <w:rPr>
                <w:sz w:val="20"/>
                <w:szCs w:val="20"/>
              </w:rPr>
            </w:pPr>
            <w:r>
              <w:rPr>
                <w:sz w:val="20"/>
                <w:szCs w:val="20"/>
              </w:rPr>
              <w:t>17.4%</w:t>
            </w:r>
          </w:p>
        </w:tc>
        <w:tc>
          <w:tcPr>
            <w:tcW w:w="1048" w:type="dxa"/>
          </w:tcPr>
          <w:p w:rsidR="008E39BB" w:rsidRDefault="008E39BB" w:rsidP="008E39BB">
            <w:pPr>
              <w:widowControl w:val="0"/>
              <w:jc w:val="right"/>
              <w:rPr>
                <w:sz w:val="20"/>
                <w:szCs w:val="20"/>
              </w:rPr>
            </w:pPr>
            <w:r>
              <w:rPr>
                <w:sz w:val="20"/>
                <w:szCs w:val="20"/>
              </w:rPr>
              <w:t>20.7%</w:t>
            </w:r>
          </w:p>
        </w:tc>
        <w:tc>
          <w:tcPr>
            <w:tcW w:w="981" w:type="dxa"/>
          </w:tcPr>
          <w:p w:rsidR="008E39BB" w:rsidRDefault="008E39BB" w:rsidP="008E39BB">
            <w:pPr>
              <w:widowControl w:val="0"/>
              <w:jc w:val="right"/>
              <w:rPr>
                <w:sz w:val="20"/>
                <w:szCs w:val="20"/>
              </w:rPr>
            </w:pPr>
            <w:r>
              <w:rPr>
                <w:sz w:val="20"/>
                <w:szCs w:val="20"/>
              </w:rPr>
              <w:t>20.0%</w:t>
            </w:r>
          </w:p>
        </w:tc>
        <w:tc>
          <w:tcPr>
            <w:tcW w:w="981" w:type="dxa"/>
          </w:tcPr>
          <w:p w:rsidR="008E39BB" w:rsidRDefault="008E39BB" w:rsidP="008E39BB">
            <w:pPr>
              <w:widowControl w:val="0"/>
              <w:jc w:val="right"/>
              <w:rPr>
                <w:sz w:val="20"/>
                <w:szCs w:val="20"/>
              </w:rPr>
            </w:pPr>
            <w:r>
              <w:rPr>
                <w:sz w:val="20"/>
                <w:szCs w:val="20"/>
              </w:rPr>
              <w:t>20.6%</w:t>
            </w:r>
          </w:p>
        </w:tc>
        <w:tc>
          <w:tcPr>
            <w:tcW w:w="1002" w:type="dxa"/>
          </w:tcPr>
          <w:p w:rsidR="008E39BB" w:rsidRDefault="008E39BB" w:rsidP="008E39BB">
            <w:pPr>
              <w:widowControl w:val="0"/>
              <w:jc w:val="right"/>
              <w:rPr>
                <w:sz w:val="20"/>
                <w:szCs w:val="20"/>
              </w:rPr>
            </w:pPr>
            <w:r>
              <w:rPr>
                <w:sz w:val="20"/>
                <w:szCs w:val="20"/>
              </w:rPr>
              <w:t>23.1%</w:t>
            </w:r>
          </w:p>
        </w:tc>
      </w:tr>
      <w:tr w:rsidR="008E39BB" w:rsidTr="008E39BB">
        <w:trPr>
          <w:trHeight w:val="144"/>
          <w:jc w:val="center"/>
        </w:trPr>
        <w:tc>
          <w:tcPr>
            <w:tcW w:w="5328" w:type="dxa"/>
          </w:tcPr>
          <w:p w:rsidR="008E39BB" w:rsidRDefault="008E39BB" w:rsidP="008E39BB">
            <w:pPr>
              <w:widowControl w:val="0"/>
              <w:jc w:val="left"/>
              <w:rPr>
                <w:sz w:val="20"/>
                <w:szCs w:val="20"/>
              </w:rPr>
            </w:pPr>
            <w:r>
              <w:rPr>
                <w:sz w:val="20"/>
                <w:szCs w:val="20"/>
              </w:rPr>
              <w:t xml:space="preserve">   4  </w:t>
            </w:r>
            <w:r w:rsidRPr="00C84525">
              <w:rPr>
                <w:i/>
                <w:sz w:val="20"/>
                <w:szCs w:val="20"/>
              </w:rPr>
              <w:t>Debt/TA</w:t>
            </w:r>
            <w:r>
              <w:rPr>
                <w:sz w:val="20"/>
                <w:szCs w:val="20"/>
              </w:rPr>
              <w:t xml:space="preserve"> below low end of earlier stable leverage regime</w:t>
            </w:r>
          </w:p>
        </w:tc>
        <w:tc>
          <w:tcPr>
            <w:tcW w:w="1088" w:type="dxa"/>
          </w:tcPr>
          <w:p w:rsidR="008E39BB" w:rsidRDefault="008E39BB" w:rsidP="008E39BB">
            <w:pPr>
              <w:widowControl w:val="0"/>
              <w:jc w:val="right"/>
              <w:rPr>
                <w:sz w:val="20"/>
                <w:szCs w:val="20"/>
              </w:rPr>
            </w:pPr>
            <w:r>
              <w:rPr>
                <w:sz w:val="20"/>
                <w:szCs w:val="20"/>
              </w:rPr>
              <w:t>0.0%</w:t>
            </w:r>
          </w:p>
        </w:tc>
        <w:tc>
          <w:tcPr>
            <w:tcW w:w="1053"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29.1%</w:t>
            </w:r>
          </w:p>
        </w:tc>
        <w:tc>
          <w:tcPr>
            <w:tcW w:w="1048"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22.8%</w:t>
            </w:r>
          </w:p>
        </w:tc>
        <w:tc>
          <w:tcPr>
            <w:tcW w:w="1048"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21.9%</w:t>
            </w:r>
          </w:p>
        </w:tc>
        <w:tc>
          <w:tcPr>
            <w:tcW w:w="1048" w:type="dxa"/>
            <w:vAlign w:val="bottom"/>
          </w:tcPr>
          <w:p w:rsidR="008E39BB" w:rsidRPr="00B97A90" w:rsidRDefault="008E39BB" w:rsidP="008E39BB">
            <w:pPr>
              <w:widowControl w:val="0"/>
              <w:jc w:val="right"/>
              <w:rPr>
                <w:rFonts w:cs="Times New Roman"/>
                <w:color w:val="000000"/>
                <w:sz w:val="20"/>
                <w:szCs w:val="20"/>
              </w:rPr>
            </w:pPr>
            <w:r>
              <w:rPr>
                <w:rFonts w:cs="Times New Roman"/>
                <w:color w:val="000000"/>
                <w:sz w:val="20"/>
                <w:szCs w:val="20"/>
              </w:rPr>
              <w:t>19.2</w:t>
            </w:r>
            <w:r w:rsidRPr="00B97A90">
              <w:rPr>
                <w:rFonts w:cs="Times New Roman"/>
                <w:color w:val="000000"/>
                <w:sz w:val="20"/>
                <w:szCs w:val="20"/>
              </w:rPr>
              <w:t>%</w:t>
            </w:r>
          </w:p>
        </w:tc>
        <w:tc>
          <w:tcPr>
            <w:tcW w:w="981"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19.9%</w:t>
            </w:r>
          </w:p>
        </w:tc>
        <w:tc>
          <w:tcPr>
            <w:tcW w:w="981"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18.1%</w:t>
            </w:r>
          </w:p>
        </w:tc>
        <w:tc>
          <w:tcPr>
            <w:tcW w:w="1002" w:type="dxa"/>
          </w:tcPr>
          <w:p w:rsidR="008E39BB" w:rsidRPr="00B97A90" w:rsidRDefault="008E39BB" w:rsidP="008E39BB">
            <w:pPr>
              <w:widowControl w:val="0"/>
              <w:jc w:val="right"/>
              <w:rPr>
                <w:rFonts w:cs="Times New Roman"/>
                <w:sz w:val="20"/>
                <w:szCs w:val="20"/>
              </w:rPr>
            </w:pPr>
            <w:r w:rsidRPr="00B97A90">
              <w:rPr>
                <w:rFonts w:cs="Times New Roman"/>
                <w:color w:val="000000"/>
                <w:sz w:val="20"/>
                <w:szCs w:val="20"/>
              </w:rPr>
              <w:t>17.0%</w:t>
            </w:r>
          </w:p>
        </w:tc>
      </w:tr>
      <w:tr w:rsidR="008E39BB" w:rsidTr="008E39BB">
        <w:trPr>
          <w:trHeight w:val="144"/>
          <w:jc w:val="center"/>
        </w:trPr>
        <w:tc>
          <w:tcPr>
            <w:tcW w:w="5328" w:type="dxa"/>
          </w:tcPr>
          <w:p w:rsidR="008E39BB" w:rsidRDefault="008E39BB" w:rsidP="008E39BB">
            <w:pPr>
              <w:widowControl w:val="0"/>
              <w:jc w:val="left"/>
              <w:rPr>
                <w:sz w:val="20"/>
                <w:szCs w:val="20"/>
              </w:rPr>
            </w:pPr>
          </w:p>
        </w:tc>
        <w:tc>
          <w:tcPr>
            <w:tcW w:w="1088" w:type="dxa"/>
          </w:tcPr>
          <w:p w:rsidR="008E39BB" w:rsidRDefault="008E39BB" w:rsidP="008E39BB">
            <w:pPr>
              <w:widowControl w:val="0"/>
              <w:jc w:val="right"/>
              <w:rPr>
                <w:sz w:val="20"/>
                <w:szCs w:val="20"/>
              </w:rPr>
            </w:pPr>
          </w:p>
        </w:tc>
        <w:tc>
          <w:tcPr>
            <w:tcW w:w="1053"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1002" w:type="dxa"/>
          </w:tcPr>
          <w:p w:rsidR="008E39BB" w:rsidRDefault="008E39BB" w:rsidP="008E39BB">
            <w:pPr>
              <w:widowControl w:val="0"/>
              <w:jc w:val="right"/>
              <w:rPr>
                <w:sz w:val="20"/>
                <w:szCs w:val="20"/>
              </w:rPr>
            </w:pPr>
          </w:p>
        </w:tc>
      </w:tr>
      <w:tr w:rsidR="008E39BB" w:rsidTr="008E39BB">
        <w:trPr>
          <w:trHeight w:val="144"/>
          <w:jc w:val="center"/>
        </w:trPr>
        <w:tc>
          <w:tcPr>
            <w:tcW w:w="5328" w:type="dxa"/>
          </w:tcPr>
          <w:p w:rsidR="008E39BB" w:rsidRDefault="008E39BB" w:rsidP="008E39BB">
            <w:pPr>
              <w:widowControl w:val="0"/>
              <w:jc w:val="left"/>
              <w:rPr>
                <w:sz w:val="20"/>
                <w:szCs w:val="20"/>
              </w:rPr>
            </w:pPr>
            <w:r>
              <w:rPr>
                <w:sz w:val="20"/>
                <w:szCs w:val="20"/>
              </w:rPr>
              <w:t xml:space="preserve">   5</w:t>
            </w:r>
            <w:r w:rsidRPr="00C84525">
              <w:rPr>
                <w:i/>
                <w:sz w:val="20"/>
                <w:szCs w:val="20"/>
              </w:rPr>
              <w:t>. Debt/TA</w:t>
            </w:r>
            <w:r>
              <w:rPr>
                <w:sz w:val="20"/>
                <w:szCs w:val="20"/>
              </w:rPr>
              <w:t xml:space="preserve"> more than 0.05 above high end of earlier regime</w:t>
            </w:r>
          </w:p>
        </w:tc>
        <w:tc>
          <w:tcPr>
            <w:tcW w:w="1088" w:type="dxa"/>
          </w:tcPr>
          <w:p w:rsidR="008E39BB" w:rsidRDefault="008E39BB" w:rsidP="008E39BB">
            <w:pPr>
              <w:widowControl w:val="0"/>
              <w:jc w:val="right"/>
              <w:rPr>
                <w:sz w:val="20"/>
                <w:szCs w:val="20"/>
              </w:rPr>
            </w:pPr>
            <w:r>
              <w:rPr>
                <w:sz w:val="20"/>
                <w:szCs w:val="20"/>
              </w:rPr>
              <w:t>0.0%</w:t>
            </w:r>
          </w:p>
        </w:tc>
        <w:tc>
          <w:tcPr>
            <w:tcW w:w="1053"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41.8%</w:t>
            </w:r>
          </w:p>
        </w:tc>
        <w:tc>
          <w:tcPr>
            <w:tcW w:w="1048"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45.1%</w:t>
            </w:r>
          </w:p>
        </w:tc>
        <w:tc>
          <w:tcPr>
            <w:tcW w:w="1048"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46.1%</w:t>
            </w:r>
          </w:p>
        </w:tc>
        <w:tc>
          <w:tcPr>
            <w:tcW w:w="1048"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46.3%</w:t>
            </w:r>
          </w:p>
        </w:tc>
        <w:tc>
          <w:tcPr>
            <w:tcW w:w="981"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44.6%</w:t>
            </w:r>
          </w:p>
        </w:tc>
        <w:tc>
          <w:tcPr>
            <w:tcW w:w="981" w:type="dxa"/>
            <w:vAlign w:val="bottom"/>
          </w:tcPr>
          <w:p w:rsidR="008E39BB" w:rsidRPr="00B97A90" w:rsidRDefault="008E39BB" w:rsidP="008E39BB">
            <w:pPr>
              <w:widowControl w:val="0"/>
              <w:jc w:val="right"/>
              <w:rPr>
                <w:rFonts w:cs="Times New Roman"/>
                <w:color w:val="000000"/>
                <w:sz w:val="20"/>
                <w:szCs w:val="20"/>
              </w:rPr>
            </w:pPr>
            <w:r w:rsidRPr="00B97A90">
              <w:rPr>
                <w:rFonts w:cs="Times New Roman"/>
                <w:color w:val="000000"/>
                <w:sz w:val="20"/>
                <w:szCs w:val="20"/>
              </w:rPr>
              <w:t>43.6%</w:t>
            </w:r>
          </w:p>
        </w:tc>
        <w:tc>
          <w:tcPr>
            <w:tcW w:w="1002" w:type="dxa"/>
          </w:tcPr>
          <w:p w:rsidR="008E39BB" w:rsidRDefault="008E39BB" w:rsidP="008E39BB">
            <w:pPr>
              <w:widowControl w:val="0"/>
              <w:jc w:val="right"/>
              <w:rPr>
                <w:sz w:val="20"/>
                <w:szCs w:val="20"/>
              </w:rPr>
            </w:pPr>
            <w:r>
              <w:rPr>
                <w:sz w:val="20"/>
                <w:szCs w:val="20"/>
              </w:rPr>
              <w:t>47.0%</w:t>
            </w:r>
          </w:p>
        </w:tc>
      </w:tr>
      <w:tr w:rsidR="008E39BB" w:rsidTr="008E39BB">
        <w:trPr>
          <w:trHeight w:val="144"/>
          <w:jc w:val="center"/>
        </w:trPr>
        <w:tc>
          <w:tcPr>
            <w:tcW w:w="5328" w:type="dxa"/>
          </w:tcPr>
          <w:p w:rsidR="008E39BB" w:rsidRDefault="008E39BB" w:rsidP="008E39BB">
            <w:pPr>
              <w:widowControl w:val="0"/>
              <w:jc w:val="left"/>
              <w:rPr>
                <w:sz w:val="20"/>
                <w:szCs w:val="20"/>
              </w:rPr>
            </w:pPr>
            <w:r>
              <w:rPr>
                <w:sz w:val="20"/>
                <w:szCs w:val="20"/>
              </w:rPr>
              <w:t xml:space="preserve">   6. </w:t>
            </w:r>
            <w:r w:rsidRPr="00C84525">
              <w:rPr>
                <w:i/>
                <w:sz w:val="20"/>
                <w:szCs w:val="20"/>
              </w:rPr>
              <w:t>Debt/TA</w:t>
            </w:r>
            <w:r>
              <w:rPr>
                <w:rFonts w:asciiTheme="minorBidi" w:hAnsiTheme="minorBidi"/>
                <w:sz w:val="20"/>
                <w:szCs w:val="20"/>
              </w:rPr>
              <w:t>more than 0.05 below low end of earlier regime</w:t>
            </w:r>
          </w:p>
        </w:tc>
        <w:tc>
          <w:tcPr>
            <w:tcW w:w="1088" w:type="dxa"/>
          </w:tcPr>
          <w:p w:rsidR="008E39BB" w:rsidRDefault="008E39BB" w:rsidP="008E39BB">
            <w:pPr>
              <w:widowControl w:val="0"/>
              <w:jc w:val="right"/>
              <w:rPr>
                <w:sz w:val="20"/>
                <w:szCs w:val="20"/>
              </w:rPr>
            </w:pPr>
            <w:r>
              <w:rPr>
                <w:sz w:val="20"/>
                <w:szCs w:val="20"/>
              </w:rPr>
              <w:t>0.0%</w:t>
            </w:r>
          </w:p>
        </w:tc>
        <w:tc>
          <w:tcPr>
            <w:tcW w:w="1053" w:type="dxa"/>
            <w:vAlign w:val="bottom"/>
          </w:tcPr>
          <w:p w:rsidR="008E39BB" w:rsidRPr="0096608E" w:rsidRDefault="008E39BB" w:rsidP="008E39BB">
            <w:pPr>
              <w:widowControl w:val="0"/>
              <w:jc w:val="right"/>
              <w:rPr>
                <w:rFonts w:cs="Times New Roman"/>
                <w:color w:val="000000"/>
                <w:sz w:val="20"/>
                <w:szCs w:val="20"/>
              </w:rPr>
            </w:pPr>
            <w:r w:rsidRPr="0096608E">
              <w:rPr>
                <w:rFonts w:cs="Times New Roman"/>
                <w:color w:val="000000"/>
                <w:sz w:val="20"/>
                <w:szCs w:val="20"/>
              </w:rPr>
              <w:t>5.6%</w:t>
            </w:r>
          </w:p>
        </w:tc>
        <w:tc>
          <w:tcPr>
            <w:tcW w:w="1048" w:type="dxa"/>
            <w:vAlign w:val="bottom"/>
          </w:tcPr>
          <w:p w:rsidR="008E39BB" w:rsidRPr="0096608E" w:rsidRDefault="008E39BB" w:rsidP="008E39BB">
            <w:pPr>
              <w:widowControl w:val="0"/>
              <w:jc w:val="right"/>
              <w:rPr>
                <w:rFonts w:cs="Times New Roman"/>
                <w:color w:val="000000"/>
                <w:sz w:val="20"/>
                <w:szCs w:val="20"/>
              </w:rPr>
            </w:pPr>
            <w:r w:rsidRPr="0096608E">
              <w:rPr>
                <w:rFonts w:cs="Times New Roman"/>
                <w:color w:val="000000"/>
                <w:sz w:val="20"/>
                <w:szCs w:val="20"/>
              </w:rPr>
              <w:t>9.4%</w:t>
            </w:r>
          </w:p>
        </w:tc>
        <w:tc>
          <w:tcPr>
            <w:tcW w:w="1048" w:type="dxa"/>
            <w:vAlign w:val="bottom"/>
          </w:tcPr>
          <w:p w:rsidR="008E39BB" w:rsidRPr="0096608E" w:rsidRDefault="008E39BB" w:rsidP="008E39BB">
            <w:pPr>
              <w:widowControl w:val="0"/>
              <w:jc w:val="right"/>
              <w:rPr>
                <w:rFonts w:cs="Times New Roman"/>
                <w:color w:val="000000"/>
                <w:sz w:val="20"/>
                <w:szCs w:val="20"/>
              </w:rPr>
            </w:pPr>
            <w:r w:rsidRPr="0096608E">
              <w:rPr>
                <w:rFonts w:cs="Times New Roman"/>
                <w:color w:val="000000"/>
                <w:sz w:val="20"/>
                <w:szCs w:val="20"/>
              </w:rPr>
              <w:t>10.6%</w:t>
            </w:r>
          </w:p>
        </w:tc>
        <w:tc>
          <w:tcPr>
            <w:tcW w:w="1048" w:type="dxa"/>
            <w:vAlign w:val="bottom"/>
          </w:tcPr>
          <w:p w:rsidR="008E39BB" w:rsidRPr="0096608E" w:rsidRDefault="008E39BB" w:rsidP="008E39BB">
            <w:pPr>
              <w:widowControl w:val="0"/>
              <w:jc w:val="right"/>
              <w:rPr>
                <w:rFonts w:cs="Times New Roman"/>
                <w:color w:val="000000"/>
                <w:sz w:val="20"/>
                <w:szCs w:val="20"/>
              </w:rPr>
            </w:pPr>
            <w:r w:rsidRPr="0096608E">
              <w:rPr>
                <w:rFonts w:cs="Times New Roman"/>
                <w:color w:val="000000"/>
                <w:sz w:val="20"/>
                <w:szCs w:val="20"/>
              </w:rPr>
              <w:t>11.8%</w:t>
            </w:r>
          </w:p>
        </w:tc>
        <w:tc>
          <w:tcPr>
            <w:tcW w:w="981" w:type="dxa"/>
            <w:vAlign w:val="bottom"/>
          </w:tcPr>
          <w:p w:rsidR="008E39BB" w:rsidRPr="0096608E" w:rsidRDefault="008E39BB" w:rsidP="008E39BB">
            <w:pPr>
              <w:widowControl w:val="0"/>
              <w:jc w:val="right"/>
              <w:rPr>
                <w:rFonts w:cs="Times New Roman"/>
                <w:color w:val="000000"/>
                <w:sz w:val="20"/>
                <w:szCs w:val="20"/>
              </w:rPr>
            </w:pPr>
            <w:r w:rsidRPr="0096608E">
              <w:rPr>
                <w:rFonts w:cs="Times New Roman"/>
                <w:color w:val="000000"/>
                <w:sz w:val="20"/>
                <w:szCs w:val="20"/>
              </w:rPr>
              <w:t>11.5%</w:t>
            </w:r>
          </w:p>
        </w:tc>
        <w:tc>
          <w:tcPr>
            <w:tcW w:w="981" w:type="dxa"/>
            <w:vAlign w:val="bottom"/>
          </w:tcPr>
          <w:p w:rsidR="008E39BB" w:rsidRPr="0096608E" w:rsidRDefault="008E39BB" w:rsidP="008E39BB">
            <w:pPr>
              <w:widowControl w:val="0"/>
              <w:jc w:val="right"/>
              <w:rPr>
                <w:rFonts w:cs="Times New Roman"/>
                <w:color w:val="000000"/>
                <w:sz w:val="20"/>
                <w:szCs w:val="20"/>
              </w:rPr>
            </w:pPr>
            <w:r w:rsidRPr="0096608E">
              <w:rPr>
                <w:rFonts w:cs="Times New Roman"/>
                <w:color w:val="000000"/>
                <w:sz w:val="20"/>
                <w:szCs w:val="20"/>
              </w:rPr>
              <w:t>12.0%</w:t>
            </w:r>
          </w:p>
        </w:tc>
        <w:tc>
          <w:tcPr>
            <w:tcW w:w="1002" w:type="dxa"/>
          </w:tcPr>
          <w:p w:rsidR="008E39BB" w:rsidRDefault="008E39BB" w:rsidP="008E39BB">
            <w:pPr>
              <w:widowControl w:val="0"/>
              <w:jc w:val="right"/>
              <w:rPr>
                <w:sz w:val="20"/>
                <w:szCs w:val="20"/>
              </w:rPr>
            </w:pPr>
            <w:r>
              <w:rPr>
                <w:sz w:val="20"/>
                <w:szCs w:val="20"/>
              </w:rPr>
              <w:t>11.9%</w:t>
            </w:r>
          </w:p>
        </w:tc>
      </w:tr>
      <w:tr w:rsidR="008E39BB" w:rsidTr="008E39BB">
        <w:trPr>
          <w:trHeight w:val="144"/>
          <w:jc w:val="center"/>
        </w:trPr>
        <w:tc>
          <w:tcPr>
            <w:tcW w:w="5328" w:type="dxa"/>
          </w:tcPr>
          <w:p w:rsidR="008E39BB" w:rsidRDefault="008E39BB" w:rsidP="008E39BB">
            <w:pPr>
              <w:widowControl w:val="0"/>
              <w:jc w:val="left"/>
              <w:rPr>
                <w:sz w:val="20"/>
                <w:szCs w:val="20"/>
              </w:rPr>
            </w:pPr>
          </w:p>
        </w:tc>
        <w:tc>
          <w:tcPr>
            <w:tcW w:w="1088" w:type="dxa"/>
          </w:tcPr>
          <w:p w:rsidR="008E39BB" w:rsidRDefault="008E39BB" w:rsidP="008E39BB">
            <w:pPr>
              <w:widowControl w:val="0"/>
              <w:jc w:val="right"/>
              <w:rPr>
                <w:sz w:val="20"/>
                <w:szCs w:val="20"/>
              </w:rPr>
            </w:pPr>
          </w:p>
        </w:tc>
        <w:tc>
          <w:tcPr>
            <w:tcW w:w="1053"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1002" w:type="dxa"/>
          </w:tcPr>
          <w:p w:rsidR="008E39BB" w:rsidRDefault="008E39BB" w:rsidP="008E39BB">
            <w:pPr>
              <w:widowControl w:val="0"/>
              <w:jc w:val="right"/>
              <w:rPr>
                <w:sz w:val="20"/>
                <w:szCs w:val="20"/>
              </w:rPr>
            </w:pPr>
          </w:p>
        </w:tc>
      </w:tr>
      <w:tr w:rsidR="008E39BB" w:rsidTr="008E39BB">
        <w:trPr>
          <w:trHeight w:val="144"/>
          <w:jc w:val="center"/>
        </w:trPr>
        <w:tc>
          <w:tcPr>
            <w:tcW w:w="5328" w:type="dxa"/>
          </w:tcPr>
          <w:p w:rsidR="008E39BB" w:rsidRDefault="008E39BB" w:rsidP="008E39BB">
            <w:pPr>
              <w:widowControl w:val="0"/>
              <w:jc w:val="left"/>
              <w:rPr>
                <w:sz w:val="20"/>
                <w:szCs w:val="20"/>
              </w:rPr>
            </w:pPr>
            <w:r w:rsidRPr="00C84525">
              <w:rPr>
                <w:i/>
                <w:sz w:val="20"/>
                <w:szCs w:val="20"/>
              </w:rPr>
              <w:t>Debt/TA</w:t>
            </w:r>
            <w:r>
              <w:rPr>
                <w:sz w:val="20"/>
                <w:szCs w:val="20"/>
              </w:rPr>
              <w:t xml:space="preserve"> above high end of stable regime that ended at </w:t>
            </w:r>
            <w:r w:rsidRPr="00AE4127">
              <w:rPr>
                <w:i/>
                <w:sz w:val="20"/>
                <w:szCs w:val="20"/>
              </w:rPr>
              <w:t>t</w:t>
            </w:r>
            <w:r>
              <w:rPr>
                <w:sz w:val="20"/>
                <w:szCs w:val="20"/>
              </w:rPr>
              <w:t xml:space="preserve"> = -1:</w:t>
            </w:r>
          </w:p>
        </w:tc>
        <w:tc>
          <w:tcPr>
            <w:tcW w:w="1088" w:type="dxa"/>
          </w:tcPr>
          <w:p w:rsidR="008E39BB" w:rsidRDefault="008E39BB" w:rsidP="008E39BB">
            <w:pPr>
              <w:widowControl w:val="0"/>
              <w:jc w:val="right"/>
              <w:rPr>
                <w:sz w:val="20"/>
                <w:szCs w:val="20"/>
              </w:rPr>
            </w:pPr>
          </w:p>
        </w:tc>
        <w:tc>
          <w:tcPr>
            <w:tcW w:w="1053"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1048"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981" w:type="dxa"/>
          </w:tcPr>
          <w:p w:rsidR="008E39BB" w:rsidRDefault="008E39BB" w:rsidP="008E39BB">
            <w:pPr>
              <w:widowControl w:val="0"/>
              <w:jc w:val="right"/>
              <w:rPr>
                <w:sz w:val="20"/>
                <w:szCs w:val="20"/>
              </w:rPr>
            </w:pPr>
          </w:p>
        </w:tc>
        <w:tc>
          <w:tcPr>
            <w:tcW w:w="1002" w:type="dxa"/>
          </w:tcPr>
          <w:p w:rsidR="008E39BB" w:rsidRDefault="008E39BB" w:rsidP="008E39BB">
            <w:pPr>
              <w:widowControl w:val="0"/>
              <w:jc w:val="right"/>
              <w:rPr>
                <w:sz w:val="20"/>
                <w:szCs w:val="20"/>
              </w:rPr>
            </w:pPr>
          </w:p>
        </w:tc>
      </w:tr>
      <w:tr w:rsidR="008E39BB" w:rsidTr="008E39BB">
        <w:trPr>
          <w:trHeight w:val="144"/>
          <w:jc w:val="center"/>
        </w:trPr>
        <w:tc>
          <w:tcPr>
            <w:tcW w:w="5328" w:type="dxa"/>
          </w:tcPr>
          <w:p w:rsidR="008E39BB" w:rsidRDefault="008E39BB" w:rsidP="008E39BB">
            <w:pPr>
              <w:widowControl w:val="0"/>
              <w:jc w:val="left"/>
              <w:rPr>
                <w:sz w:val="20"/>
                <w:szCs w:val="20"/>
              </w:rPr>
            </w:pPr>
            <w:r>
              <w:rPr>
                <w:sz w:val="20"/>
                <w:szCs w:val="20"/>
              </w:rPr>
              <w:t xml:space="preserve">   7. Increased borrowing</w:t>
            </w:r>
          </w:p>
        </w:tc>
        <w:tc>
          <w:tcPr>
            <w:tcW w:w="1088" w:type="dxa"/>
          </w:tcPr>
          <w:p w:rsidR="008E39BB" w:rsidRDefault="008E39BB" w:rsidP="008E39BB">
            <w:pPr>
              <w:widowControl w:val="0"/>
              <w:jc w:val="right"/>
              <w:rPr>
                <w:sz w:val="20"/>
                <w:szCs w:val="20"/>
              </w:rPr>
            </w:pPr>
            <w:r>
              <w:rPr>
                <w:sz w:val="20"/>
                <w:szCs w:val="20"/>
              </w:rPr>
              <w:t>---</w:t>
            </w:r>
          </w:p>
        </w:tc>
        <w:tc>
          <w:tcPr>
            <w:tcW w:w="1053"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99.0%</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99.1%</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99.1%</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99.1%</w:t>
            </w:r>
          </w:p>
        </w:tc>
        <w:tc>
          <w:tcPr>
            <w:tcW w:w="981"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98.6%</w:t>
            </w:r>
          </w:p>
        </w:tc>
        <w:tc>
          <w:tcPr>
            <w:tcW w:w="981"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99.1%</w:t>
            </w:r>
          </w:p>
        </w:tc>
        <w:tc>
          <w:tcPr>
            <w:tcW w:w="1002" w:type="dxa"/>
          </w:tcPr>
          <w:p w:rsidR="008E39BB" w:rsidRPr="00360C87" w:rsidRDefault="008E39BB" w:rsidP="008E39BB">
            <w:pPr>
              <w:widowControl w:val="0"/>
              <w:jc w:val="right"/>
              <w:rPr>
                <w:rFonts w:cs="Times New Roman"/>
                <w:sz w:val="20"/>
                <w:szCs w:val="20"/>
              </w:rPr>
            </w:pPr>
            <w:r w:rsidRPr="00360C87">
              <w:rPr>
                <w:rFonts w:cs="Times New Roman"/>
                <w:color w:val="000000"/>
                <w:sz w:val="20"/>
                <w:szCs w:val="20"/>
              </w:rPr>
              <w:t>98.0%</w:t>
            </w:r>
          </w:p>
        </w:tc>
      </w:tr>
      <w:tr w:rsidR="008E39BB" w:rsidTr="008E39BB">
        <w:trPr>
          <w:trHeight w:val="144"/>
          <w:jc w:val="center"/>
        </w:trPr>
        <w:tc>
          <w:tcPr>
            <w:tcW w:w="5328" w:type="dxa"/>
          </w:tcPr>
          <w:p w:rsidR="008E39BB" w:rsidRDefault="008E39BB" w:rsidP="008E39BB">
            <w:pPr>
              <w:widowControl w:val="0"/>
              <w:jc w:val="left"/>
              <w:rPr>
                <w:sz w:val="20"/>
                <w:szCs w:val="20"/>
              </w:rPr>
            </w:pPr>
            <w:r>
              <w:rPr>
                <w:sz w:val="20"/>
                <w:szCs w:val="20"/>
              </w:rPr>
              <w:t xml:space="preserve">   8. No increase in borrowing</w:t>
            </w:r>
          </w:p>
        </w:tc>
        <w:tc>
          <w:tcPr>
            <w:tcW w:w="1088" w:type="dxa"/>
          </w:tcPr>
          <w:p w:rsidR="008E39BB" w:rsidRDefault="008E39BB" w:rsidP="008E39BB">
            <w:pPr>
              <w:widowControl w:val="0"/>
              <w:jc w:val="right"/>
              <w:rPr>
                <w:sz w:val="20"/>
                <w:szCs w:val="20"/>
              </w:rPr>
            </w:pPr>
            <w:r>
              <w:rPr>
                <w:sz w:val="20"/>
                <w:szCs w:val="20"/>
              </w:rPr>
              <w:t>---</w:t>
            </w:r>
          </w:p>
        </w:tc>
        <w:tc>
          <w:tcPr>
            <w:tcW w:w="1053"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1.0%</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0.9%</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0.9%</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0.9%</w:t>
            </w:r>
          </w:p>
        </w:tc>
        <w:tc>
          <w:tcPr>
            <w:tcW w:w="981"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1.4%</w:t>
            </w:r>
          </w:p>
        </w:tc>
        <w:tc>
          <w:tcPr>
            <w:tcW w:w="981"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0.9%</w:t>
            </w:r>
          </w:p>
        </w:tc>
        <w:tc>
          <w:tcPr>
            <w:tcW w:w="1002" w:type="dxa"/>
          </w:tcPr>
          <w:p w:rsidR="008E39BB" w:rsidRPr="00360C87" w:rsidRDefault="008E39BB" w:rsidP="008E39BB">
            <w:pPr>
              <w:widowControl w:val="0"/>
              <w:jc w:val="right"/>
              <w:rPr>
                <w:rFonts w:cs="Times New Roman"/>
                <w:sz w:val="20"/>
                <w:szCs w:val="20"/>
              </w:rPr>
            </w:pPr>
            <w:r w:rsidRPr="00360C87">
              <w:rPr>
                <w:rFonts w:cs="Times New Roman"/>
                <w:color w:val="000000"/>
                <w:sz w:val="20"/>
                <w:szCs w:val="20"/>
              </w:rPr>
              <w:t>2.0%</w:t>
            </w:r>
          </w:p>
        </w:tc>
      </w:tr>
      <w:tr w:rsidR="008E39BB" w:rsidTr="008E39BB">
        <w:trPr>
          <w:trHeight w:val="144"/>
          <w:jc w:val="center"/>
        </w:trPr>
        <w:tc>
          <w:tcPr>
            <w:tcW w:w="5328" w:type="dxa"/>
          </w:tcPr>
          <w:p w:rsidR="008E39BB" w:rsidRDefault="008E39BB" w:rsidP="008E39BB">
            <w:pPr>
              <w:widowControl w:val="0"/>
              <w:jc w:val="left"/>
              <w:rPr>
                <w:sz w:val="20"/>
                <w:szCs w:val="20"/>
              </w:rPr>
            </w:pPr>
          </w:p>
        </w:tc>
        <w:tc>
          <w:tcPr>
            <w:tcW w:w="1088" w:type="dxa"/>
          </w:tcPr>
          <w:p w:rsidR="008E39BB" w:rsidRDefault="008E39BB" w:rsidP="008E39BB">
            <w:pPr>
              <w:widowControl w:val="0"/>
              <w:jc w:val="right"/>
              <w:rPr>
                <w:sz w:val="20"/>
                <w:szCs w:val="20"/>
              </w:rPr>
            </w:pPr>
          </w:p>
        </w:tc>
        <w:tc>
          <w:tcPr>
            <w:tcW w:w="1053" w:type="dxa"/>
          </w:tcPr>
          <w:p w:rsidR="008E39BB" w:rsidRPr="00360C87" w:rsidRDefault="008E39BB" w:rsidP="008E39BB">
            <w:pPr>
              <w:widowControl w:val="0"/>
              <w:jc w:val="right"/>
              <w:rPr>
                <w:rFonts w:cs="Times New Roman"/>
                <w:sz w:val="20"/>
                <w:szCs w:val="20"/>
              </w:rPr>
            </w:pPr>
          </w:p>
        </w:tc>
        <w:tc>
          <w:tcPr>
            <w:tcW w:w="1048" w:type="dxa"/>
          </w:tcPr>
          <w:p w:rsidR="008E39BB" w:rsidRPr="00360C87" w:rsidRDefault="008E39BB" w:rsidP="008E39BB">
            <w:pPr>
              <w:widowControl w:val="0"/>
              <w:jc w:val="right"/>
              <w:rPr>
                <w:rFonts w:cs="Times New Roman"/>
                <w:sz w:val="20"/>
                <w:szCs w:val="20"/>
              </w:rPr>
            </w:pPr>
          </w:p>
        </w:tc>
        <w:tc>
          <w:tcPr>
            <w:tcW w:w="1048" w:type="dxa"/>
          </w:tcPr>
          <w:p w:rsidR="008E39BB" w:rsidRPr="00360C87" w:rsidRDefault="008E39BB" w:rsidP="008E39BB">
            <w:pPr>
              <w:widowControl w:val="0"/>
              <w:jc w:val="right"/>
              <w:rPr>
                <w:rFonts w:cs="Times New Roman"/>
                <w:sz w:val="20"/>
                <w:szCs w:val="20"/>
              </w:rPr>
            </w:pPr>
          </w:p>
        </w:tc>
        <w:tc>
          <w:tcPr>
            <w:tcW w:w="1048" w:type="dxa"/>
          </w:tcPr>
          <w:p w:rsidR="008E39BB" w:rsidRPr="00360C87" w:rsidRDefault="008E39BB" w:rsidP="008E39BB">
            <w:pPr>
              <w:widowControl w:val="0"/>
              <w:jc w:val="right"/>
              <w:rPr>
                <w:rFonts w:cs="Times New Roman"/>
                <w:sz w:val="20"/>
                <w:szCs w:val="20"/>
              </w:rPr>
            </w:pPr>
          </w:p>
        </w:tc>
        <w:tc>
          <w:tcPr>
            <w:tcW w:w="981" w:type="dxa"/>
          </w:tcPr>
          <w:p w:rsidR="008E39BB" w:rsidRPr="00360C87" w:rsidRDefault="008E39BB" w:rsidP="008E39BB">
            <w:pPr>
              <w:widowControl w:val="0"/>
              <w:jc w:val="right"/>
              <w:rPr>
                <w:rFonts w:cs="Times New Roman"/>
                <w:sz w:val="20"/>
                <w:szCs w:val="20"/>
              </w:rPr>
            </w:pPr>
          </w:p>
        </w:tc>
        <w:tc>
          <w:tcPr>
            <w:tcW w:w="981" w:type="dxa"/>
          </w:tcPr>
          <w:p w:rsidR="008E39BB" w:rsidRPr="00360C87" w:rsidRDefault="008E39BB" w:rsidP="008E39BB">
            <w:pPr>
              <w:widowControl w:val="0"/>
              <w:jc w:val="right"/>
              <w:rPr>
                <w:rFonts w:cs="Times New Roman"/>
                <w:sz w:val="20"/>
                <w:szCs w:val="20"/>
              </w:rPr>
            </w:pPr>
          </w:p>
        </w:tc>
        <w:tc>
          <w:tcPr>
            <w:tcW w:w="1002" w:type="dxa"/>
          </w:tcPr>
          <w:p w:rsidR="008E39BB" w:rsidRPr="00360C87" w:rsidRDefault="008E39BB" w:rsidP="008E39BB">
            <w:pPr>
              <w:widowControl w:val="0"/>
              <w:jc w:val="right"/>
              <w:rPr>
                <w:rFonts w:cs="Times New Roman"/>
                <w:sz w:val="20"/>
                <w:szCs w:val="20"/>
              </w:rPr>
            </w:pPr>
          </w:p>
        </w:tc>
      </w:tr>
      <w:tr w:rsidR="008E39BB" w:rsidTr="008E39BB">
        <w:trPr>
          <w:trHeight w:val="144"/>
          <w:jc w:val="center"/>
        </w:trPr>
        <w:tc>
          <w:tcPr>
            <w:tcW w:w="5328" w:type="dxa"/>
          </w:tcPr>
          <w:p w:rsidR="008E39BB" w:rsidRDefault="008E39BB" w:rsidP="008E39BB">
            <w:pPr>
              <w:widowControl w:val="0"/>
              <w:jc w:val="left"/>
              <w:rPr>
                <w:sz w:val="20"/>
                <w:szCs w:val="20"/>
              </w:rPr>
            </w:pPr>
            <w:r w:rsidRPr="00C84525">
              <w:rPr>
                <w:i/>
                <w:sz w:val="20"/>
                <w:szCs w:val="20"/>
              </w:rPr>
              <w:t>Debt/TA</w:t>
            </w:r>
            <w:r>
              <w:rPr>
                <w:sz w:val="20"/>
                <w:szCs w:val="20"/>
              </w:rPr>
              <w:t xml:space="preserve"> below low end of stable regime that ended at </w:t>
            </w:r>
            <w:r w:rsidRPr="00AE4127">
              <w:rPr>
                <w:i/>
                <w:sz w:val="20"/>
                <w:szCs w:val="20"/>
              </w:rPr>
              <w:t>t</w:t>
            </w:r>
            <w:r>
              <w:rPr>
                <w:sz w:val="20"/>
                <w:szCs w:val="20"/>
              </w:rPr>
              <w:t xml:space="preserve"> = -1:</w:t>
            </w:r>
          </w:p>
        </w:tc>
        <w:tc>
          <w:tcPr>
            <w:tcW w:w="1088" w:type="dxa"/>
          </w:tcPr>
          <w:p w:rsidR="008E39BB" w:rsidRDefault="008E39BB" w:rsidP="008E39BB">
            <w:pPr>
              <w:widowControl w:val="0"/>
              <w:jc w:val="right"/>
              <w:rPr>
                <w:sz w:val="20"/>
                <w:szCs w:val="20"/>
              </w:rPr>
            </w:pPr>
          </w:p>
        </w:tc>
        <w:tc>
          <w:tcPr>
            <w:tcW w:w="1053" w:type="dxa"/>
          </w:tcPr>
          <w:p w:rsidR="008E39BB" w:rsidRPr="00360C87" w:rsidRDefault="008E39BB" w:rsidP="008E39BB">
            <w:pPr>
              <w:widowControl w:val="0"/>
              <w:jc w:val="right"/>
              <w:rPr>
                <w:rFonts w:cs="Times New Roman"/>
                <w:sz w:val="20"/>
                <w:szCs w:val="20"/>
              </w:rPr>
            </w:pPr>
          </w:p>
        </w:tc>
        <w:tc>
          <w:tcPr>
            <w:tcW w:w="1048" w:type="dxa"/>
          </w:tcPr>
          <w:p w:rsidR="008E39BB" w:rsidRPr="00360C87" w:rsidRDefault="008E39BB" w:rsidP="008E39BB">
            <w:pPr>
              <w:widowControl w:val="0"/>
              <w:jc w:val="right"/>
              <w:rPr>
                <w:rFonts w:cs="Times New Roman"/>
                <w:sz w:val="20"/>
                <w:szCs w:val="20"/>
              </w:rPr>
            </w:pPr>
          </w:p>
        </w:tc>
        <w:tc>
          <w:tcPr>
            <w:tcW w:w="1048" w:type="dxa"/>
          </w:tcPr>
          <w:p w:rsidR="008E39BB" w:rsidRPr="00360C87" w:rsidRDefault="008E39BB" w:rsidP="008E39BB">
            <w:pPr>
              <w:widowControl w:val="0"/>
              <w:jc w:val="right"/>
              <w:rPr>
                <w:rFonts w:cs="Times New Roman"/>
                <w:sz w:val="20"/>
                <w:szCs w:val="20"/>
              </w:rPr>
            </w:pPr>
          </w:p>
        </w:tc>
        <w:tc>
          <w:tcPr>
            <w:tcW w:w="1048" w:type="dxa"/>
          </w:tcPr>
          <w:p w:rsidR="008E39BB" w:rsidRPr="00360C87" w:rsidRDefault="008E39BB" w:rsidP="008E39BB">
            <w:pPr>
              <w:widowControl w:val="0"/>
              <w:jc w:val="right"/>
              <w:rPr>
                <w:rFonts w:cs="Times New Roman"/>
                <w:sz w:val="20"/>
                <w:szCs w:val="20"/>
              </w:rPr>
            </w:pPr>
          </w:p>
        </w:tc>
        <w:tc>
          <w:tcPr>
            <w:tcW w:w="981" w:type="dxa"/>
          </w:tcPr>
          <w:p w:rsidR="008E39BB" w:rsidRPr="00360C87" w:rsidRDefault="008E39BB" w:rsidP="008E39BB">
            <w:pPr>
              <w:widowControl w:val="0"/>
              <w:jc w:val="right"/>
              <w:rPr>
                <w:rFonts w:cs="Times New Roman"/>
                <w:sz w:val="20"/>
                <w:szCs w:val="20"/>
              </w:rPr>
            </w:pPr>
          </w:p>
        </w:tc>
        <w:tc>
          <w:tcPr>
            <w:tcW w:w="981" w:type="dxa"/>
          </w:tcPr>
          <w:p w:rsidR="008E39BB" w:rsidRPr="00360C87" w:rsidRDefault="008E39BB" w:rsidP="008E39BB">
            <w:pPr>
              <w:widowControl w:val="0"/>
              <w:jc w:val="right"/>
              <w:rPr>
                <w:rFonts w:cs="Times New Roman"/>
                <w:sz w:val="20"/>
                <w:szCs w:val="20"/>
              </w:rPr>
            </w:pPr>
          </w:p>
        </w:tc>
        <w:tc>
          <w:tcPr>
            <w:tcW w:w="1002" w:type="dxa"/>
          </w:tcPr>
          <w:p w:rsidR="008E39BB" w:rsidRPr="00360C87" w:rsidRDefault="008E39BB" w:rsidP="008E39BB">
            <w:pPr>
              <w:widowControl w:val="0"/>
              <w:jc w:val="right"/>
              <w:rPr>
                <w:rFonts w:cs="Times New Roman"/>
                <w:sz w:val="20"/>
                <w:szCs w:val="20"/>
              </w:rPr>
            </w:pPr>
          </w:p>
        </w:tc>
      </w:tr>
      <w:tr w:rsidR="008E39BB" w:rsidTr="008E39BB">
        <w:trPr>
          <w:trHeight w:val="144"/>
          <w:jc w:val="center"/>
        </w:trPr>
        <w:tc>
          <w:tcPr>
            <w:tcW w:w="5328" w:type="dxa"/>
          </w:tcPr>
          <w:p w:rsidR="008E39BB" w:rsidRDefault="008E39BB" w:rsidP="008E39BB">
            <w:pPr>
              <w:widowControl w:val="0"/>
              <w:rPr>
                <w:sz w:val="20"/>
                <w:szCs w:val="20"/>
              </w:rPr>
            </w:pPr>
            <w:r>
              <w:rPr>
                <w:sz w:val="20"/>
                <w:szCs w:val="20"/>
              </w:rPr>
              <w:t xml:space="preserve">   9. Debt paydown</w:t>
            </w:r>
          </w:p>
        </w:tc>
        <w:tc>
          <w:tcPr>
            <w:tcW w:w="1088" w:type="dxa"/>
          </w:tcPr>
          <w:p w:rsidR="008E39BB" w:rsidRDefault="008E39BB" w:rsidP="008E39BB">
            <w:pPr>
              <w:widowControl w:val="0"/>
              <w:jc w:val="right"/>
              <w:rPr>
                <w:sz w:val="20"/>
                <w:szCs w:val="20"/>
              </w:rPr>
            </w:pPr>
            <w:r>
              <w:rPr>
                <w:sz w:val="20"/>
                <w:szCs w:val="20"/>
              </w:rPr>
              <w:t>---</w:t>
            </w:r>
          </w:p>
        </w:tc>
        <w:tc>
          <w:tcPr>
            <w:tcW w:w="1053"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86.2%</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80.9%</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65.9%</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70.0%</w:t>
            </w:r>
          </w:p>
        </w:tc>
        <w:tc>
          <w:tcPr>
            <w:tcW w:w="981"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54.4%</w:t>
            </w:r>
          </w:p>
        </w:tc>
        <w:tc>
          <w:tcPr>
            <w:tcW w:w="981"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47.1%</w:t>
            </w:r>
          </w:p>
        </w:tc>
        <w:tc>
          <w:tcPr>
            <w:tcW w:w="1002" w:type="dxa"/>
          </w:tcPr>
          <w:p w:rsidR="008E39BB" w:rsidRPr="00360C87" w:rsidRDefault="008E39BB" w:rsidP="008E39BB">
            <w:pPr>
              <w:widowControl w:val="0"/>
              <w:jc w:val="right"/>
              <w:rPr>
                <w:rFonts w:cs="Times New Roman"/>
                <w:sz w:val="20"/>
                <w:szCs w:val="20"/>
              </w:rPr>
            </w:pPr>
            <w:r w:rsidRPr="00360C87">
              <w:rPr>
                <w:rFonts w:cs="Times New Roman"/>
                <w:color w:val="000000"/>
                <w:sz w:val="20"/>
                <w:szCs w:val="20"/>
              </w:rPr>
              <w:t>43.3%</w:t>
            </w:r>
          </w:p>
        </w:tc>
      </w:tr>
      <w:tr w:rsidR="008E39BB" w:rsidTr="008E39BB">
        <w:trPr>
          <w:trHeight w:val="144"/>
          <w:jc w:val="center"/>
        </w:trPr>
        <w:tc>
          <w:tcPr>
            <w:tcW w:w="5328" w:type="dxa"/>
          </w:tcPr>
          <w:p w:rsidR="008E39BB" w:rsidRDefault="008E39BB" w:rsidP="008E39BB">
            <w:pPr>
              <w:widowControl w:val="0"/>
              <w:rPr>
                <w:sz w:val="20"/>
                <w:szCs w:val="20"/>
              </w:rPr>
            </w:pPr>
            <w:r>
              <w:rPr>
                <w:sz w:val="20"/>
                <w:szCs w:val="20"/>
              </w:rPr>
              <w:t xml:space="preserve"> 10. No debt paydown</w:t>
            </w:r>
          </w:p>
        </w:tc>
        <w:tc>
          <w:tcPr>
            <w:tcW w:w="1088" w:type="dxa"/>
          </w:tcPr>
          <w:p w:rsidR="008E39BB" w:rsidRDefault="008E39BB" w:rsidP="008E39BB">
            <w:pPr>
              <w:widowControl w:val="0"/>
              <w:jc w:val="right"/>
              <w:rPr>
                <w:sz w:val="20"/>
                <w:szCs w:val="20"/>
              </w:rPr>
            </w:pPr>
            <w:r>
              <w:rPr>
                <w:sz w:val="20"/>
                <w:szCs w:val="20"/>
              </w:rPr>
              <w:t>---</w:t>
            </w:r>
          </w:p>
        </w:tc>
        <w:tc>
          <w:tcPr>
            <w:tcW w:w="1053"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13.</w:t>
            </w:r>
            <w:r>
              <w:rPr>
                <w:rFonts w:cs="Times New Roman"/>
                <w:color w:val="000000"/>
                <w:sz w:val="20"/>
                <w:szCs w:val="20"/>
              </w:rPr>
              <w:t>8</w:t>
            </w:r>
            <w:r w:rsidRPr="00360C87">
              <w:rPr>
                <w:rFonts w:cs="Times New Roman"/>
                <w:color w:val="000000"/>
                <w:sz w:val="20"/>
                <w:szCs w:val="20"/>
              </w:rPr>
              <w:t>%</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19.1%</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34.1%</w:t>
            </w:r>
          </w:p>
        </w:tc>
        <w:tc>
          <w:tcPr>
            <w:tcW w:w="1048"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30.0%</w:t>
            </w:r>
          </w:p>
        </w:tc>
        <w:tc>
          <w:tcPr>
            <w:tcW w:w="981"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45.6%</w:t>
            </w:r>
          </w:p>
        </w:tc>
        <w:tc>
          <w:tcPr>
            <w:tcW w:w="981" w:type="dxa"/>
            <w:vAlign w:val="bottom"/>
          </w:tcPr>
          <w:p w:rsidR="008E39BB" w:rsidRPr="00360C87" w:rsidRDefault="008E39BB" w:rsidP="008E39BB">
            <w:pPr>
              <w:widowControl w:val="0"/>
              <w:jc w:val="right"/>
              <w:rPr>
                <w:rFonts w:cs="Times New Roman"/>
                <w:color w:val="000000"/>
                <w:sz w:val="20"/>
                <w:szCs w:val="20"/>
              </w:rPr>
            </w:pPr>
            <w:r w:rsidRPr="00360C87">
              <w:rPr>
                <w:rFonts w:cs="Times New Roman"/>
                <w:color w:val="000000"/>
                <w:sz w:val="20"/>
                <w:szCs w:val="20"/>
              </w:rPr>
              <w:t>52.9%</w:t>
            </w:r>
          </w:p>
        </w:tc>
        <w:tc>
          <w:tcPr>
            <w:tcW w:w="1002" w:type="dxa"/>
          </w:tcPr>
          <w:p w:rsidR="008E39BB" w:rsidRPr="00360C87" w:rsidRDefault="008E39BB" w:rsidP="008E39BB">
            <w:pPr>
              <w:widowControl w:val="0"/>
              <w:jc w:val="right"/>
              <w:rPr>
                <w:rFonts w:cs="Times New Roman"/>
                <w:sz w:val="20"/>
                <w:szCs w:val="20"/>
              </w:rPr>
            </w:pPr>
            <w:r w:rsidRPr="00360C87">
              <w:rPr>
                <w:rFonts w:cs="Times New Roman"/>
                <w:color w:val="000000"/>
                <w:sz w:val="20"/>
                <w:szCs w:val="20"/>
              </w:rPr>
              <w:t>56.7%</w:t>
            </w:r>
          </w:p>
        </w:tc>
      </w:tr>
      <w:tr w:rsidR="008E39BB" w:rsidTr="008E39BB">
        <w:trPr>
          <w:trHeight w:val="144"/>
          <w:jc w:val="center"/>
        </w:trPr>
        <w:tc>
          <w:tcPr>
            <w:tcW w:w="5328" w:type="dxa"/>
          </w:tcPr>
          <w:p w:rsidR="008E39BB" w:rsidRDefault="008E39BB" w:rsidP="008E39BB">
            <w:pPr>
              <w:widowControl w:val="0"/>
              <w:rPr>
                <w:sz w:val="20"/>
                <w:szCs w:val="20"/>
              </w:rPr>
            </w:pPr>
          </w:p>
        </w:tc>
        <w:tc>
          <w:tcPr>
            <w:tcW w:w="1088" w:type="dxa"/>
          </w:tcPr>
          <w:p w:rsidR="008E39BB" w:rsidRDefault="008E39BB" w:rsidP="008E39BB">
            <w:pPr>
              <w:widowControl w:val="0"/>
              <w:jc w:val="right"/>
              <w:rPr>
                <w:sz w:val="20"/>
                <w:szCs w:val="20"/>
              </w:rPr>
            </w:pPr>
          </w:p>
        </w:tc>
        <w:tc>
          <w:tcPr>
            <w:tcW w:w="1053" w:type="dxa"/>
          </w:tcPr>
          <w:p w:rsidR="008E39BB" w:rsidRPr="00360C87" w:rsidRDefault="008E39BB" w:rsidP="008E39BB">
            <w:pPr>
              <w:widowControl w:val="0"/>
              <w:jc w:val="right"/>
              <w:rPr>
                <w:rFonts w:cs="Times New Roman"/>
                <w:sz w:val="20"/>
                <w:szCs w:val="20"/>
              </w:rPr>
            </w:pPr>
          </w:p>
        </w:tc>
        <w:tc>
          <w:tcPr>
            <w:tcW w:w="1048" w:type="dxa"/>
          </w:tcPr>
          <w:p w:rsidR="008E39BB" w:rsidRPr="00360C87" w:rsidRDefault="008E39BB" w:rsidP="008E39BB">
            <w:pPr>
              <w:widowControl w:val="0"/>
              <w:jc w:val="right"/>
              <w:rPr>
                <w:rFonts w:cs="Times New Roman"/>
                <w:sz w:val="20"/>
                <w:szCs w:val="20"/>
              </w:rPr>
            </w:pPr>
          </w:p>
        </w:tc>
        <w:tc>
          <w:tcPr>
            <w:tcW w:w="1048" w:type="dxa"/>
          </w:tcPr>
          <w:p w:rsidR="008E39BB" w:rsidRPr="00360C87" w:rsidRDefault="008E39BB" w:rsidP="008E39BB">
            <w:pPr>
              <w:widowControl w:val="0"/>
              <w:jc w:val="right"/>
              <w:rPr>
                <w:rFonts w:cs="Times New Roman"/>
                <w:sz w:val="20"/>
                <w:szCs w:val="20"/>
              </w:rPr>
            </w:pPr>
          </w:p>
        </w:tc>
        <w:tc>
          <w:tcPr>
            <w:tcW w:w="1048" w:type="dxa"/>
          </w:tcPr>
          <w:p w:rsidR="008E39BB" w:rsidRPr="00360C87" w:rsidRDefault="008E39BB" w:rsidP="008E39BB">
            <w:pPr>
              <w:widowControl w:val="0"/>
              <w:jc w:val="right"/>
              <w:rPr>
                <w:rFonts w:cs="Times New Roman"/>
                <w:sz w:val="20"/>
                <w:szCs w:val="20"/>
              </w:rPr>
            </w:pPr>
          </w:p>
        </w:tc>
        <w:tc>
          <w:tcPr>
            <w:tcW w:w="981" w:type="dxa"/>
          </w:tcPr>
          <w:p w:rsidR="008E39BB" w:rsidRPr="00360C87" w:rsidRDefault="008E39BB" w:rsidP="008E39BB">
            <w:pPr>
              <w:widowControl w:val="0"/>
              <w:jc w:val="right"/>
              <w:rPr>
                <w:rFonts w:cs="Times New Roman"/>
                <w:sz w:val="20"/>
                <w:szCs w:val="20"/>
              </w:rPr>
            </w:pPr>
          </w:p>
        </w:tc>
        <w:tc>
          <w:tcPr>
            <w:tcW w:w="981" w:type="dxa"/>
          </w:tcPr>
          <w:p w:rsidR="008E39BB" w:rsidRPr="00360C87" w:rsidRDefault="008E39BB" w:rsidP="008E39BB">
            <w:pPr>
              <w:widowControl w:val="0"/>
              <w:jc w:val="right"/>
              <w:rPr>
                <w:rFonts w:cs="Times New Roman"/>
                <w:sz w:val="20"/>
                <w:szCs w:val="20"/>
              </w:rPr>
            </w:pPr>
          </w:p>
        </w:tc>
        <w:tc>
          <w:tcPr>
            <w:tcW w:w="1002" w:type="dxa"/>
          </w:tcPr>
          <w:p w:rsidR="008E39BB" w:rsidRPr="00360C87" w:rsidRDefault="008E39BB" w:rsidP="008E39BB">
            <w:pPr>
              <w:widowControl w:val="0"/>
              <w:jc w:val="right"/>
              <w:rPr>
                <w:rFonts w:cs="Times New Roman"/>
                <w:sz w:val="20"/>
                <w:szCs w:val="20"/>
              </w:rPr>
            </w:pPr>
          </w:p>
        </w:tc>
      </w:tr>
    </w:tbl>
    <w:p w:rsidR="008E39BB" w:rsidRDefault="008E39BB" w:rsidP="008E39BB">
      <w:pPr>
        <w:widowControl w:val="0"/>
        <w:rPr>
          <w:sz w:val="20"/>
          <w:szCs w:val="20"/>
        </w:rPr>
      </w:pPr>
    </w:p>
    <w:p w:rsidR="005861E2" w:rsidRDefault="005861E2" w:rsidP="008E39BB">
      <w:pPr>
        <w:widowControl w:val="0"/>
        <w:rPr>
          <w:sz w:val="20"/>
          <w:szCs w:val="20"/>
        </w:rPr>
        <w:sectPr w:rsidR="005861E2" w:rsidSect="00074377">
          <w:pgSz w:w="15840" w:h="12240" w:orient="landscape"/>
          <w:pgMar w:top="1296" w:right="1440" w:bottom="1152" w:left="1440" w:header="720" w:footer="720" w:gutter="0"/>
          <w:cols w:space="720"/>
          <w:docGrid w:linePitch="360"/>
        </w:sectPr>
      </w:pPr>
    </w:p>
    <w:p w:rsidR="005861E2" w:rsidRPr="00AD54B8" w:rsidRDefault="005861E2" w:rsidP="005861E2">
      <w:pPr>
        <w:widowControl w:val="0"/>
        <w:jc w:val="center"/>
        <w:rPr>
          <w:b/>
          <w:sz w:val="20"/>
          <w:szCs w:val="20"/>
        </w:rPr>
      </w:pPr>
      <w:r>
        <w:rPr>
          <w:b/>
          <w:sz w:val="20"/>
          <w:szCs w:val="20"/>
        </w:rPr>
        <w:lastRenderedPageBreak/>
        <w:t xml:space="preserve">Table </w:t>
      </w:r>
      <w:r w:rsidR="00AA4744">
        <w:rPr>
          <w:b/>
          <w:sz w:val="20"/>
          <w:szCs w:val="20"/>
        </w:rPr>
        <w:t>IA.</w:t>
      </w:r>
      <w:r w:rsidR="00E84F3B">
        <w:rPr>
          <w:b/>
          <w:sz w:val="20"/>
          <w:szCs w:val="20"/>
        </w:rPr>
        <w:t>VIII</w:t>
      </w:r>
    </w:p>
    <w:p w:rsidR="005861E2" w:rsidRPr="00AD54B8" w:rsidRDefault="005861E2" w:rsidP="005861E2">
      <w:pPr>
        <w:widowControl w:val="0"/>
        <w:jc w:val="center"/>
        <w:rPr>
          <w:b/>
          <w:sz w:val="20"/>
          <w:szCs w:val="20"/>
        </w:rPr>
      </w:pPr>
    </w:p>
    <w:p w:rsidR="005861E2" w:rsidRPr="00AD54B8" w:rsidRDefault="005861E2" w:rsidP="005861E2">
      <w:pPr>
        <w:widowControl w:val="0"/>
        <w:jc w:val="center"/>
        <w:rPr>
          <w:b/>
          <w:sz w:val="20"/>
          <w:szCs w:val="20"/>
        </w:rPr>
      </w:pPr>
      <w:r w:rsidRPr="00AD54B8">
        <w:rPr>
          <w:b/>
          <w:sz w:val="20"/>
          <w:szCs w:val="20"/>
        </w:rPr>
        <w:t>Target Leverage Variation and Leverage Peaks</w:t>
      </w:r>
    </w:p>
    <w:p w:rsidR="005861E2" w:rsidRPr="00AD54B8" w:rsidRDefault="005861E2" w:rsidP="005861E2">
      <w:pPr>
        <w:widowControl w:val="0"/>
        <w:rPr>
          <w:sz w:val="20"/>
          <w:szCs w:val="20"/>
        </w:rPr>
      </w:pPr>
    </w:p>
    <w:p w:rsidR="005861E2" w:rsidRPr="00AD54B8" w:rsidRDefault="005861E2" w:rsidP="005861E2">
      <w:pPr>
        <w:widowControl w:val="0"/>
        <w:rPr>
          <w:sz w:val="20"/>
          <w:szCs w:val="20"/>
        </w:rPr>
      </w:pPr>
      <w:r w:rsidRPr="00AD54B8">
        <w:rPr>
          <w:sz w:val="20"/>
          <w:szCs w:val="20"/>
        </w:rPr>
        <w:t>The table presents the me</w:t>
      </w:r>
      <w:r w:rsidR="00AD2652">
        <w:rPr>
          <w:sz w:val="20"/>
          <w:szCs w:val="20"/>
        </w:rPr>
        <w:t>di</w:t>
      </w:r>
      <w:r w:rsidRPr="00AD54B8">
        <w:rPr>
          <w:sz w:val="20"/>
          <w:szCs w:val="20"/>
        </w:rPr>
        <w:t xml:space="preserve">an values of </w:t>
      </w:r>
      <w:r w:rsidRPr="005A219A">
        <w:rPr>
          <w:i/>
          <w:sz w:val="20"/>
          <w:szCs w:val="20"/>
        </w:rPr>
        <w:t>Debt/Total Assets</w:t>
      </w:r>
      <w:r w:rsidRPr="00AD54B8">
        <w:rPr>
          <w:sz w:val="20"/>
          <w:szCs w:val="20"/>
        </w:rPr>
        <w:t xml:space="preserve">, four estimates of target leverage ratios, and various financial variables surrounding leverage peaks (the highest ever </w:t>
      </w:r>
      <w:r w:rsidRPr="005A219A">
        <w:rPr>
          <w:i/>
          <w:sz w:val="20"/>
          <w:szCs w:val="20"/>
        </w:rPr>
        <w:t>Debt/TA</w:t>
      </w:r>
      <w:r w:rsidRPr="00AD54B8">
        <w:rPr>
          <w:sz w:val="20"/>
          <w:szCs w:val="20"/>
        </w:rPr>
        <w:t xml:space="preserve"> ratio) for 1,699 firms listed 20 or more years on Compustat.  Event year </w:t>
      </w:r>
      <w:r w:rsidRPr="00AE4127">
        <w:rPr>
          <w:i/>
          <w:sz w:val="20"/>
          <w:szCs w:val="20"/>
        </w:rPr>
        <w:t>t</w:t>
      </w:r>
      <w:r w:rsidRPr="00AD54B8">
        <w:rPr>
          <w:sz w:val="20"/>
          <w:szCs w:val="20"/>
        </w:rPr>
        <w:t xml:space="preserve"> = 0 is the calendar year of peak leverage while </w:t>
      </w:r>
      <w:r w:rsidRPr="00AE4127">
        <w:rPr>
          <w:i/>
          <w:sz w:val="20"/>
          <w:szCs w:val="20"/>
        </w:rPr>
        <w:t>t</w:t>
      </w:r>
      <w:r w:rsidRPr="00AD54B8">
        <w:rPr>
          <w:sz w:val="20"/>
          <w:szCs w:val="20"/>
        </w:rPr>
        <w:t xml:space="preserve"> = 1 is the year immediately after the peak. All other event years over </w:t>
      </w:r>
      <w:r w:rsidRPr="00AE4127">
        <w:rPr>
          <w:i/>
          <w:sz w:val="20"/>
          <w:szCs w:val="20"/>
        </w:rPr>
        <w:t>t</w:t>
      </w:r>
      <w:r w:rsidRPr="00AD54B8">
        <w:rPr>
          <w:sz w:val="20"/>
          <w:szCs w:val="20"/>
        </w:rPr>
        <w:t xml:space="preserve"> = -3 to</w:t>
      </w:r>
      <w:r w:rsidRPr="00AE4127">
        <w:rPr>
          <w:i/>
          <w:sz w:val="20"/>
          <w:szCs w:val="20"/>
        </w:rPr>
        <w:t xml:space="preserve"> t</w:t>
      </w:r>
      <w:r w:rsidRPr="00AD54B8">
        <w:rPr>
          <w:sz w:val="20"/>
          <w:szCs w:val="20"/>
        </w:rPr>
        <w:t xml:space="preserve"> = 3 are defined analogously.  When a firm has multiple perio</w:t>
      </w:r>
      <w:r>
        <w:rPr>
          <w:sz w:val="20"/>
          <w:szCs w:val="20"/>
        </w:rPr>
        <w:t xml:space="preserve">ds with the same peak </w:t>
      </w:r>
      <w:r w:rsidRPr="00AD54B8">
        <w:rPr>
          <w:sz w:val="20"/>
          <w:szCs w:val="20"/>
        </w:rPr>
        <w:t xml:space="preserve">leverage, we use the first such period here.  With </w:t>
      </w:r>
      <w:r w:rsidRPr="00AE4127">
        <w:rPr>
          <w:i/>
          <w:sz w:val="20"/>
          <w:szCs w:val="20"/>
        </w:rPr>
        <w:t>Target model 1</w:t>
      </w:r>
      <w:r w:rsidRPr="00AD54B8">
        <w:rPr>
          <w:sz w:val="20"/>
          <w:szCs w:val="20"/>
        </w:rPr>
        <w:t xml:space="preserve">, the target leverage ratio of a firm is estimated as the fitted value from a regression (using the full sample) of </w:t>
      </w:r>
      <w:r w:rsidRPr="00AE4127">
        <w:rPr>
          <w:i/>
          <w:sz w:val="20"/>
          <w:szCs w:val="20"/>
        </w:rPr>
        <w:t>Debt/TA</w:t>
      </w:r>
      <w:r w:rsidRPr="00AD54B8">
        <w:rPr>
          <w:sz w:val="20"/>
          <w:szCs w:val="20"/>
        </w:rPr>
        <w:t xml:space="preserve"> on the four Rajan and Zingales (1995</w:t>
      </w:r>
      <w:r>
        <w:rPr>
          <w:sz w:val="20"/>
          <w:szCs w:val="20"/>
        </w:rPr>
        <w:t>) variables specified in rows 9 to 12</w:t>
      </w:r>
      <w:r w:rsidRPr="00AD54B8">
        <w:rPr>
          <w:sz w:val="20"/>
          <w:szCs w:val="20"/>
        </w:rPr>
        <w:t xml:space="preserve">. </w:t>
      </w:r>
      <w:r w:rsidR="005A219A">
        <w:rPr>
          <w:sz w:val="20"/>
          <w:szCs w:val="20"/>
        </w:rPr>
        <w:t xml:space="preserve"> For</w:t>
      </w:r>
      <w:r w:rsidRPr="00AE4127">
        <w:rPr>
          <w:i/>
          <w:sz w:val="20"/>
          <w:szCs w:val="20"/>
        </w:rPr>
        <w:t>Target models 2, 3</w:t>
      </w:r>
      <w:r w:rsidRPr="00AD54B8">
        <w:rPr>
          <w:sz w:val="20"/>
          <w:szCs w:val="20"/>
        </w:rPr>
        <w:t xml:space="preserve">, and </w:t>
      </w:r>
      <w:r w:rsidRPr="00AE4127">
        <w:rPr>
          <w:i/>
          <w:sz w:val="20"/>
          <w:szCs w:val="20"/>
        </w:rPr>
        <w:t>4</w:t>
      </w:r>
      <w:r w:rsidR="00C37FFC" w:rsidRPr="00DE2A70">
        <w:rPr>
          <w:sz w:val="20"/>
          <w:szCs w:val="20"/>
        </w:rPr>
        <w:t>,we</w:t>
      </w:r>
      <w:r w:rsidRPr="00AD54B8">
        <w:rPr>
          <w:sz w:val="20"/>
          <w:szCs w:val="20"/>
        </w:rPr>
        <w:t xml:space="preserve">generate target ratio estimates in similar fashion.  The only difference is that now industry-median leverage (at respectively the </w:t>
      </w:r>
      <w:r w:rsidR="006C38E0">
        <w:rPr>
          <w:sz w:val="20"/>
          <w:szCs w:val="20"/>
        </w:rPr>
        <w:t>four-digit</w:t>
      </w:r>
      <w:r w:rsidRPr="00AD54B8">
        <w:rPr>
          <w:sz w:val="20"/>
          <w:szCs w:val="20"/>
        </w:rPr>
        <w:t xml:space="preserve">, </w:t>
      </w:r>
      <w:r w:rsidR="006C38E0">
        <w:rPr>
          <w:sz w:val="20"/>
          <w:szCs w:val="20"/>
        </w:rPr>
        <w:t>three-digit</w:t>
      </w:r>
      <w:r w:rsidRPr="00AD54B8">
        <w:rPr>
          <w:sz w:val="20"/>
          <w:szCs w:val="20"/>
        </w:rPr>
        <w:t xml:space="preserve">, or </w:t>
      </w:r>
      <w:r w:rsidR="006C38E0">
        <w:rPr>
          <w:sz w:val="20"/>
          <w:szCs w:val="20"/>
        </w:rPr>
        <w:t>two-digit</w:t>
      </w:r>
      <w:r w:rsidRPr="00AD54B8">
        <w:rPr>
          <w:sz w:val="20"/>
          <w:szCs w:val="20"/>
        </w:rPr>
        <w:t xml:space="preserve"> SIC level) is included as an explanatory variable along with the determinants used in the first model.  The firm under analysis is excluded from the calculation generating industry-median leverage.  If there are no other firms in the same </w:t>
      </w:r>
      <w:r w:rsidR="006C38E0">
        <w:rPr>
          <w:sz w:val="20"/>
          <w:szCs w:val="20"/>
        </w:rPr>
        <w:t>four-digit</w:t>
      </w:r>
      <w:r w:rsidRPr="00AD54B8">
        <w:rPr>
          <w:sz w:val="20"/>
          <w:szCs w:val="20"/>
        </w:rPr>
        <w:t xml:space="preserve"> (</w:t>
      </w:r>
      <w:r w:rsidR="006C38E0">
        <w:rPr>
          <w:sz w:val="20"/>
          <w:szCs w:val="20"/>
        </w:rPr>
        <w:t>three-digit</w:t>
      </w:r>
      <w:r w:rsidRPr="00AD54B8">
        <w:rPr>
          <w:sz w:val="20"/>
          <w:szCs w:val="20"/>
        </w:rPr>
        <w:t xml:space="preserve">) industry, we use the </w:t>
      </w:r>
      <w:r w:rsidR="006C38E0">
        <w:rPr>
          <w:sz w:val="20"/>
          <w:szCs w:val="20"/>
        </w:rPr>
        <w:t>three-digit</w:t>
      </w:r>
      <w:r w:rsidRPr="00AD54B8">
        <w:rPr>
          <w:sz w:val="20"/>
          <w:szCs w:val="20"/>
        </w:rPr>
        <w:t xml:space="preserve"> (</w:t>
      </w:r>
      <w:r w:rsidR="006C38E0">
        <w:rPr>
          <w:sz w:val="20"/>
          <w:szCs w:val="20"/>
        </w:rPr>
        <w:t>two-digit</w:t>
      </w:r>
      <w:r w:rsidRPr="00AD54B8">
        <w:rPr>
          <w:sz w:val="20"/>
          <w:szCs w:val="20"/>
        </w:rPr>
        <w:t>) industry-me</w:t>
      </w:r>
      <w:r w:rsidR="00AE4127">
        <w:rPr>
          <w:sz w:val="20"/>
          <w:szCs w:val="20"/>
        </w:rPr>
        <w:t xml:space="preserve">dian leverage ratio instead.  </w:t>
      </w:r>
      <w:r w:rsidRPr="00AE4127">
        <w:rPr>
          <w:i/>
          <w:sz w:val="20"/>
          <w:szCs w:val="20"/>
        </w:rPr>
        <w:t>Asset growth</w:t>
      </w:r>
      <w:r w:rsidRPr="00AD54B8">
        <w:rPr>
          <w:sz w:val="20"/>
          <w:szCs w:val="20"/>
        </w:rPr>
        <w:t xml:space="preserve"> equals assets in event </w:t>
      </w:r>
      <w:r w:rsidRPr="00DE2A70">
        <w:rPr>
          <w:sz w:val="20"/>
          <w:szCs w:val="20"/>
        </w:rPr>
        <w:t>year</w:t>
      </w:r>
      <w:r w:rsidRPr="00AD6D42">
        <w:rPr>
          <w:i/>
          <w:sz w:val="20"/>
          <w:szCs w:val="20"/>
        </w:rPr>
        <w:t xml:space="preserve"> t</w:t>
      </w:r>
      <w:r w:rsidRPr="00AD54B8">
        <w:rPr>
          <w:sz w:val="20"/>
          <w:szCs w:val="20"/>
        </w:rPr>
        <w:t xml:space="preserve"> minus assets in year </w:t>
      </w:r>
      <w:r w:rsidRPr="00AD6D42">
        <w:rPr>
          <w:i/>
          <w:sz w:val="20"/>
          <w:szCs w:val="20"/>
        </w:rPr>
        <w:t>t-</w:t>
      </w:r>
      <w:r w:rsidRPr="00DE2A70">
        <w:rPr>
          <w:sz w:val="20"/>
          <w:szCs w:val="20"/>
        </w:rPr>
        <w:t>1</w:t>
      </w:r>
      <w:r w:rsidRPr="00AD54B8">
        <w:rPr>
          <w:sz w:val="20"/>
          <w:szCs w:val="20"/>
        </w:rPr>
        <w:t xml:space="preserve">, all divided by assets in </w:t>
      </w:r>
      <w:r w:rsidRPr="00AD6D42">
        <w:rPr>
          <w:i/>
          <w:sz w:val="20"/>
          <w:szCs w:val="20"/>
        </w:rPr>
        <w:t>t-</w:t>
      </w:r>
      <w:r w:rsidRPr="00DE2A70">
        <w:rPr>
          <w:sz w:val="20"/>
          <w:szCs w:val="20"/>
        </w:rPr>
        <w:t>1</w:t>
      </w:r>
      <w:r w:rsidRPr="00AD54B8">
        <w:rPr>
          <w:sz w:val="20"/>
          <w:szCs w:val="20"/>
        </w:rPr>
        <w:t xml:space="preserve">.  The same divisor is applied to year </w:t>
      </w:r>
      <w:r w:rsidRPr="00AD6D42">
        <w:rPr>
          <w:i/>
          <w:sz w:val="20"/>
          <w:szCs w:val="20"/>
        </w:rPr>
        <w:t>t</w:t>
      </w:r>
      <w:r w:rsidR="00AD6D42">
        <w:rPr>
          <w:i/>
          <w:sz w:val="20"/>
          <w:szCs w:val="20"/>
        </w:rPr>
        <w:t>Capital expenditures, Financing deficit, C</w:t>
      </w:r>
      <w:r w:rsidRPr="00AE4127">
        <w:rPr>
          <w:i/>
          <w:sz w:val="20"/>
          <w:szCs w:val="20"/>
        </w:rPr>
        <w:t>hange in debt</w:t>
      </w:r>
      <w:r w:rsidRPr="00AD54B8">
        <w:rPr>
          <w:sz w:val="20"/>
          <w:szCs w:val="20"/>
        </w:rPr>
        <w:t xml:space="preserve">, and </w:t>
      </w:r>
      <w:r w:rsidRPr="00AE4127">
        <w:rPr>
          <w:i/>
          <w:sz w:val="20"/>
          <w:szCs w:val="20"/>
        </w:rPr>
        <w:t>EBITDA</w:t>
      </w:r>
      <w:r w:rsidRPr="00AD54B8">
        <w:rPr>
          <w:sz w:val="20"/>
          <w:szCs w:val="20"/>
        </w:rPr>
        <w:t xml:space="preserve">.  For </w:t>
      </w:r>
      <w:r w:rsidR="00AD6D42">
        <w:rPr>
          <w:i/>
          <w:sz w:val="20"/>
          <w:szCs w:val="20"/>
        </w:rPr>
        <w:t>T</w:t>
      </w:r>
      <w:r w:rsidRPr="00AE4127">
        <w:rPr>
          <w:i/>
          <w:sz w:val="20"/>
          <w:szCs w:val="20"/>
        </w:rPr>
        <w:t>angible assets</w:t>
      </w:r>
      <w:r w:rsidRPr="00AD54B8">
        <w:rPr>
          <w:sz w:val="20"/>
          <w:szCs w:val="20"/>
        </w:rPr>
        <w:t xml:space="preserve"> in year </w:t>
      </w:r>
      <w:r w:rsidRPr="00AE4127">
        <w:rPr>
          <w:i/>
          <w:sz w:val="20"/>
          <w:szCs w:val="20"/>
        </w:rPr>
        <w:t>t</w:t>
      </w:r>
      <w:r w:rsidRPr="00AD54B8">
        <w:rPr>
          <w:sz w:val="20"/>
          <w:szCs w:val="20"/>
        </w:rPr>
        <w:t xml:space="preserve">, we divide by total assets in year </w:t>
      </w:r>
      <w:r w:rsidRPr="00AD6D42">
        <w:rPr>
          <w:i/>
          <w:sz w:val="20"/>
          <w:szCs w:val="20"/>
        </w:rPr>
        <w:t>t</w:t>
      </w:r>
      <w:r w:rsidRPr="00AD54B8">
        <w:rPr>
          <w:sz w:val="20"/>
          <w:szCs w:val="20"/>
        </w:rPr>
        <w:t xml:space="preserve">.  The </w:t>
      </w:r>
      <w:r w:rsidRPr="00AD6D42">
        <w:rPr>
          <w:sz w:val="20"/>
          <w:szCs w:val="20"/>
        </w:rPr>
        <w:t xml:space="preserve">financing deficit </w:t>
      </w:r>
      <w:r w:rsidRPr="00AD54B8">
        <w:rPr>
          <w:sz w:val="20"/>
          <w:szCs w:val="20"/>
        </w:rPr>
        <w:t xml:space="preserve">measures the amount of external financing net of distributions in a given year and equals the sum of net equity issues and net debt issues.  </w:t>
      </w:r>
      <w:r w:rsidR="009749B8">
        <w:rPr>
          <w:sz w:val="20"/>
          <w:szCs w:val="20"/>
        </w:rPr>
        <w:t>(</w:t>
      </w:r>
      <w:r w:rsidRPr="00AD54B8">
        <w:rPr>
          <w:sz w:val="20"/>
          <w:szCs w:val="20"/>
        </w:rPr>
        <w:t>A negative financing deficit (i.e., a financing surplus) indicates that, on net, the firm does not raise outside funds in the period under consideration</w:t>
      </w:r>
      <w:r w:rsidR="009749B8">
        <w:rPr>
          <w:sz w:val="20"/>
          <w:szCs w:val="20"/>
        </w:rPr>
        <w:t>.</w:t>
      </w:r>
      <w:r w:rsidR="00760C44">
        <w:rPr>
          <w:sz w:val="20"/>
          <w:szCs w:val="20"/>
        </w:rPr>
        <w:t>)</w:t>
      </w:r>
      <w:r w:rsidRPr="00AD54B8">
        <w:rPr>
          <w:sz w:val="20"/>
          <w:szCs w:val="20"/>
        </w:rPr>
        <w:t xml:space="preserve">We employ the change in total debt outstanding as the measure of net debt issues to avoid sample-size shrinkage because of missing values on Compustat of the latter variable.  For inclusion in this table, firms must be listed on Compustat through year </w:t>
      </w:r>
      <w:r w:rsidRPr="00AE4127">
        <w:rPr>
          <w:i/>
          <w:sz w:val="20"/>
          <w:szCs w:val="20"/>
        </w:rPr>
        <w:t>t</w:t>
      </w:r>
      <w:r w:rsidRPr="00AD54B8">
        <w:rPr>
          <w:sz w:val="20"/>
          <w:szCs w:val="20"/>
        </w:rPr>
        <w:t xml:space="preserve"> = 3.  The variables in rows 9 to 16 ar</w:t>
      </w:r>
      <w:r>
        <w:rPr>
          <w:sz w:val="20"/>
          <w:szCs w:val="20"/>
        </w:rPr>
        <w:t>e Winsorized at the 1% level.  In the column for</w:t>
      </w:r>
      <w:r w:rsidRPr="00AE4127">
        <w:rPr>
          <w:i/>
          <w:sz w:val="20"/>
          <w:szCs w:val="20"/>
        </w:rPr>
        <w:t xml:space="preserve"> t</w:t>
      </w:r>
      <w:r>
        <w:rPr>
          <w:sz w:val="20"/>
          <w:szCs w:val="20"/>
        </w:rPr>
        <w:t xml:space="preserve"> = 0, w</w:t>
      </w:r>
      <w:r w:rsidRPr="00AD54B8">
        <w:rPr>
          <w:sz w:val="20"/>
          <w:szCs w:val="20"/>
        </w:rPr>
        <w:t>e use</w:t>
      </w:r>
      <w:r w:rsidR="006C38E0">
        <w:rPr>
          <w:sz w:val="20"/>
          <w:szCs w:val="20"/>
        </w:rPr>
        <w:t>***</w:t>
      </w:r>
      <w:r w:rsidR="00214F12">
        <w:rPr>
          <w:sz w:val="20"/>
          <w:szCs w:val="20"/>
        </w:rPr>
        <w:t xml:space="preserve">, </w:t>
      </w:r>
      <w:r w:rsidR="006C38E0">
        <w:rPr>
          <w:sz w:val="20"/>
          <w:szCs w:val="20"/>
        </w:rPr>
        <w:t>**</w:t>
      </w:r>
      <w:r w:rsidR="00214F12">
        <w:rPr>
          <w:sz w:val="20"/>
          <w:szCs w:val="20"/>
        </w:rPr>
        <w:t xml:space="preserve">, and * </w:t>
      </w:r>
      <w:r w:rsidRPr="00AD54B8">
        <w:rPr>
          <w:sz w:val="20"/>
          <w:szCs w:val="20"/>
        </w:rPr>
        <w:t>to identify</w:t>
      </w:r>
      <w:r w:rsidR="006C38E0">
        <w:rPr>
          <w:sz w:val="20"/>
          <w:szCs w:val="20"/>
        </w:rPr>
        <w:t>, respectively,</w:t>
      </w:r>
      <w:r w:rsidRPr="00AD54B8">
        <w:rPr>
          <w:sz w:val="20"/>
          <w:szCs w:val="20"/>
        </w:rPr>
        <w:t xml:space="preserve"> signific</w:t>
      </w:r>
      <w:r w:rsidR="00214F12">
        <w:rPr>
          <w:sz w:val="20"/>
          <w:szCs w:val="20"/>
        </w:rPr>
        <w:t>ant differences at the 0.00,</w:t>
      </w:r>
      <w:r w:rsidRPr="00AD54B8">
        <w:rPr>
          <w:sz w:val="20"/>
          <w:szCs w:val="20"/>
        </w:rPr>
        <w:t xml:space="preserve"> 0.01</w:t>
      </w:r>
      <w:r w:rsidR="00214F12">
        <w:rPr>
          <w:sz w:val="20"/>
          <w:szCs w:val="20"/>
        </w:rPr>
        <w:t>, and 0.10</w:t>
      </w:r>
      <w:r w:rsidRPr="00AD54B8">
        <w:rPr>
          <w:sz w:val="20"/>
          <w:szCs w:val="20"/>
        </w:rPr>
        <w:t xml:space="preserve"> levels or better for Wilcoxon tests that compare the </w:t>
      </w:r>
      <w:r w:rsidRPr="00AE4127">
        <w:rPr>
          <w:i/>
          <w:sz w:val="20"/>
          <w:szCs w:val="20"/>
        </w:rPr>
        <w:t>t</w:t>
      </w:r>
      <w:r w:rsidRPr="00AD54B8">
        <w:rPr>
          <w:sz w:val="20"/>
          <w:szCs w:val="20"/>
        </w:rPr>
        <w:t xml:space="preserve"> = 0 median value of a variable and its</w:t>
      </w:r>
      <w:r w:rsidRPr="00AE4127">
        <w:rPr>
          <w:i/>
          <w:sz w:val="20"/>
          <w:szCs w:val="20"/>
        </w:rPr>
        <w:t xml:space="preserve"> t</w:t>
      </w:r>
      <w:r w:rsidRPr="00AD54B8">
        <w:rPr>
          <w:sz w:val="20"/>
          <w:szCs w:val="20"/>
        </w:rPr>
        <w:t xml:space="preserve"> = -1 value.  </w:t>
      </w:r>
      <w:r>
        <w:rPr>
          <w:sz w:val="20"/>
          <w:szCs w:val="20"/>
        </w:rPr>
        <w:t xml:space="preserve">In the column for </w:t>
      </w:r>
      <w:r w:rsidRPr="00AE4127">
        <w:rPr>
          <w:i/>
          <w:sz w:val="20"/>
          <w:szCs w:val="20"/>
        </w:rPr>
        <w:t>t</w:t>
      </w:r>
      <w:r>
        <w:rPr>
          <w:sz w:val="20"/>
          <w:szCs w:val="20"/>
        </w:rPr>
        <w:t xml:space="preserve"> = 1, we use the same symbols to identify significant differences between the </w:t>
      </w:r>
      <w:r w:rsidRPr="00AE4127">
        <w:rPr>
          <w:i/>
          <w:sz w:val="20"/>
          <w:szCs w:val="20"/>
        </w:rPr>
        <w:t>t</w:t>
      </w:r>
      <w:r>
        <w:rPr>
          <w:sz w:val="20"/>
          <w:szCs w:val="20"/>
        </w:rPr>
        <w:t xml:space="preserve"> = 1 and </w:t>
      </w:r>
      <w:r w:rsidRPr="00AE4127">
        <w:rPr>
          <w:i/>
          <w:sz w:val="20"/>
          <w:szCs w:val="20"/>
        </w:rPr>
        <w:t>t</w:t>
      </w:r>
      <w:r>
        <w:rPr>
          <w:sz w:val="20"/>
          <w:szCs w:val="20"/>
        </w:rPr>
        <w:t xml:space="preserve"> = 0 values of each variable.</w:t>
      </w:r>
    </w:p>
    <w:p w:rsidR="005861E2" w:rsidRDefault="005861E2" w:rsidP="005861E2">
      <w:pPr>
        <w:widowControl w:val="0"/>
        <w:rPr>
          <w:sz w:val="20"/>
          <w:szCs w:val="20"/>
        </w:rPr>
      </w:pPr>
    </w:p>
    <w:tbl>
      <w:tblPr>
        <w:tblStyle w:val="TableGrid"/>
        <w:tblW w:w="9936" w:type="dxa"/>
        <w:jc w:val="center"/>
        <w:tblBorders>
          <w:left w:val="none" w:sz="0" w:space="0" w:color="auto"/>
          <w:right w:val="none" w:sz="0" w:space="0" w:color="auto"/>
          <w:insideH w:val="none" w:sz="0" w:space="0" w:color="auto"/>
          <w:insideV w:val="none" w:sz="0" w:space="0" w:color="auto"/>
        </w:tblBorders>
        <w:tblLook w:val="04A0"/>
      </w:tblPr>
      <w:tblGrid>
        <w:gridCol w:w="2193"/>
        <w:gridCol w:w="1277"/>
        <w:gridCol w:w="1069"/>
        <w:gridCol w:w="1069"/>
        <w:gridCol w:w="1121"/>
        <w:gridCol w:w="1069"/>
        <w:gridCol w:w="1069"/>
        <w:gridCol w:w="1069"/>
      </w:tblGrid>
      <w:tr w:rsidR="005861E2" w:rsidTr="00DE2A70">
        <w:trPr>
          <w:jc w:val="center"/>
        </w:trPr>
        <w:tc>
          <w:tcPr>
            <w:tcW w:w="2193" w:type="dxa"/>
            <w:tcBorders>
              <w:top w:val="single" w:sz="4" w:space="0" w:color="000000" w:themeColor="text1"/>
              <w:bottom w:val="nil"/>
            </w:tcBorders>
          </w:tcPr>
          <w:p w:rsidR="005861E2" w:rsidRDefault="005861E2" w:rsidP="005861E2">
            <w:pPr>
              <w:widowControl w:val="0"/>
              <w:jc w:val="center"/>
              <w:rPr>
                <w:sz w:val="20"/>
                <w:szCs w:val="20"/>
              </w:rPr>
            </w:pPr>
          </w:p>
        </w:tc>
        <w:tc>
          <w:tcPr>
            <w:tcW w:w="7743" w:type="dxa"/>
            <w:gridSpan w:val="7"/>
            <w:tcBorders>
              <w:top w:val="single" w:sz="4" w:space="0" w:color="000000" w:themeColor="text1"/>
              <w:bottom w:val="single" w:sz="4" w:space="0" w:color="auto"/>
            </w:tcBorders>
          </w:tcPr>
          <w:p w:rsidR="005861E2" w:rsidRDefault="005861E2" w:rsidP="005861E2">
            <w:pPr>
              <w:widowControl w:val="0"/>
              <w:jc w:val="center"/>
              <w:rPr>
                <w:sz w:val="20"/>
                <w:szCs w:val="20"/>
              </w:rPr>
            </w:pPr>
            <w:r>
              <w:rPr>
                <w:sz w:val="20"/>
                <w:szCs w:val="20"/>
              </w:rPr>
              <w:t>Event year relative to leverage peak in year 0:</w:t>
            </w:r>
          </w:p>
        </w:tc>
      </w:tr>
      <w:tr w:rsidR="005861E2" w:rsidTr="00DE2A70">
        <w:trPr>
          <w:jc w:val="center"/>
        </w:trPr>
        <w:tc>
          <w:tcPr>
            <w:tcW w:w="2193" w:type="dxa"/>
            <w:tcBorders>
              <w:top w:val="nil"/>
              <w:bottom w:val="single" w:sz="4" w:space="0" w:color="000000" w:themeColor="text1"/>
            </w:tcBorders>
          </w:tcPr>
          <w:p w:rsidR="005861E2" w:rsidRDefault="005861E2" w:rsidP="00AD2652">
            <w:pPr>
              <w:widowControl w:val="0"/>
              <w:rPr>
                <w:sz w:val="20"/>
                <w:szCs w:val="20"/>
              </w:rPr>
            </w:pPr>
            <w:r>
              <w:rPr>
                <w:sz w:val="20"/>
                <w:szCs w:val="20"/>
              </w:rPr>
              <w:t>Median value of</w:t>
            </w:r>
          </w:p>
        </w:tc>
        <w:tc>
          <w:tcPr>
            <w:tcW w:w="1277"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-3</w:t>
            </w:r>
          </w:p>
        </w:tc>
        <w:tc>
          <w:tcPr>
            <w:tcW w:w="1069"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-2</w:t>
            </w:r>
          </w:p>
        </w:tc>
        <w:tc>
          <w:tcPr>
            <w:tcW w:w="1069"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-1</w:t>
            </w:r>
          </w:p>
        </w:tc>
        <w:tc>
          <w:tcPr>
            <w:tcW w:w="1121"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0</w:t>
            </w:r>
          </w:p>
        </w:tc>
        <w:tc>
          <w:tcPr>
            <w:tcW w:w="1069"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1</w:t>
            </w:r>
          </w:p>
        </w:tc>
        <w:tc>
          <w:tcPr>
            <w:tcW w:w="1069"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2</w:t>
            </w:r>
          </w:p>
        </w:tc>
        <w:tc>
          <w:tcPr>
            <w:tcW w:w="1069"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3</w:t>
            </w:r>
          </w:p>
        </w:tc>
      </w:tr>
      <w:tr w:rsidR="005861E2" w:rsidRPr="00675524" w:rsidTr="005861E2">
        <w:trPr>
          <w:trHeight w:val="288"/>
          <w:jc w:val="center"/>
        </w:trPr>
        <w:tc>
          <w:tcPr>
            <w:tcW w:w="2193" w:type="dxa"/>
            <w:tcBorders>
              <w:top w:val="single" w:sz="4" w:space="0" w:color="000000" w:themeColor="text1"/>
            </w:tcBorders>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1. </w:t>
            </w:r>
            <w:r w:rsidRPr="00AE4127">
              <w:rPr>
                <w:rFonts w:cs="Times New Roman"/>
                <w:i/>
                <w:sz w:val="20"/>
                <w:szCs w:val="20"/>
              </w:rPr>
              <w:t>Debt/Total Assets</w:t>
            </w:r>
          </w:p>
        </w:tc>
        <w:tc>
          <w:tcPr>
            <w:tcW w:w="1277" w:type="dxa"/>
            <w:tcBorders>
              <w:top w:val="single" w:sz="4" w:space="0" w:color="000000" w:themeColor="text1"/>
            </w:tcBorders>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0.256</w:t>
            </w:r>
          </w:p>
        </w:tc>
        <w:tc>
          <w:tcPr>
            <w:tcW w:w="1069" w:type="dxa"/>
            <w:tcBorders>
              <w:top w:val="single" w:sz="4" w:space="0" w:color="000000" w:themeColor="text1"/>
            </w:tcBorders>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0.287</w:t>
            </w:r>
          </w:p>
        </w:tc>
        <w:tc>
          <w:tcPr>
            <w:tcW w:w="1069" w:type="dxa"/>
            <w:tcBorders>
              <w:top w:val="single" w:sz="4" w:space="0" w:color="000000" w:themeColor="text1"/>
            </w:tcBorders>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0.337</w:t>
            </w:r>
          </w:p>
        </w:tc>
        <w:tc>
          <w:tcPr>
            <w:tcW w:w="1121" w:type="dxa"/>
            <w:tcBorders>
              <w:top w:val="single" w:sz="4" w:space="0" w:color="000000" w:themeColor="text1"/>
            </w:tcBorders>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0.446</w:t>
            </w:r>
            <w:r>
              <w:rPr>
                <w:rFonts w:eastAsia="Times New Roman" w:cs="Times New Roman"/>
                <w:color w:val="000000"/>
                <w:sz w:val="20"/>
                <w:szCs w:val="20"/>
              </w:rPr>
              <w:t>***</w:t>
            </w:r>
          </w:p>
        </w:tc>
        <w:tc>
          <w:tcPr>
            <w:tcW w:w="1069" w:type="dxa"/>
            <w:tcBorders>
              <w:top w:val="single" w:sz="4" w:space="0" w:color="000000" w:themeColor="text1"/>
            </w:tcBorders>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0.362</w:t>
            </w:r>
            <w:r>
              <w:rPr>
                <w:rFonts w:eastAsia="Times New Roman" w:cs="Times New Roman"/>
                <w:color w:val="000000"/>
                <w:sz w:val="20"/>
                <w:szCs w:val="20"/>
              </w:rPr>
              <w:t>***</w:t>
            </w:r>
          </w:p>
        </w:tc>
        <w:tc>
          <w:tcPr>
            <w:tcW w:w="1069" w:type="dxa"/>
            <w:tcBorders>
              <w:top w:val="single" w:sz="4" w:space="0" w:color="000000" w:themeColor="text1"/>
            </w:tcBorders>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0.314</w:t>
            </w:r>
          </w:p>
        </w:tc>
        <w:tc>
          <w:tcPr>
            <w:tcW w:w="1069" w:type="dxa"/>
            <w:tcBorders>
              <w:top w:val="single" w:sz="4" w:space="0" w:color="000000" w:themeColor="text1"/>
            </w:tcBorders>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0.282</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2. </w:t>
            </w:r>
            <w:r w:rsidRPr="00AE4127">
              <w:rPr>
                <w:rFonts w:cs="Times New Roman"/>
                <w:i/>
                <w:sz w:val="20"/>
                <w:szCs w:val="20"/>
              </w:rPr>
              <w:t>Target model 1</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0.246</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0.245</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0.248</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0.251</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0.252</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0.251</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0.247</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3. </w:t>
            </w:r>
            <w:r w:rsidRPr="00AE4127">
              <w:rPr>
                <w:rFonts w:cs="Times New Roman"/>
                <w:i/>
                <w:sz w:val="20"/>
                <w:szCs w:val="20"/>
              </w:rPr>
              <w:t>Target model 2</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0.252</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0.250</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0.252</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0.258</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0.260</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0.257</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0.253</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4. </w:t>
            </w:r>
            <w:r w:rsidRPr="00AE4127">
              <w:rPr>
                <w:rFonts w:cs="Times New Roman"/>
                <w:i/>
                <w:sz w:val="20"/>
                <w:szCs w:val="20"/>
              </w:rPr>
              <w:t>Target model 3</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0.253</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0.251</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0.256</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0.260</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0.261</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0.257</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0.253</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5. </w:t>
            </w:r>
            <w:r w:rsidRPr="00AE4127">
              <w:rPr>
                <w:rFonts w:cs="Times New Roman"/>
                <w:i/>
                <w:sz w:val="20"/>
                <w:szCs w:val="20"/>
              </w:rPr>
              <w:t>Target model 4</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0.250</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0.250</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0.255</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0.259</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0.261</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0.257</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0.251</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p>
        </w:tc>
        <w:tc>
          <w:tcPr>
            <w:tcW w:w="1277"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121"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6.  </w:t>
            </w:r>
            <w:r w:rsidRPr="00AE4127">
              <w:rPr>
                <w:rFonts w:cs="Times New Roman"/>
                <w:i/>
                <w:sz w:val="20"/>
                <w:szCs w:val="20"/>
              </w:rPr>
              <w:t>Ind-median 4-digit</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0.218</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0.219</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0.223</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0.227</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0.227</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0.222</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0.219</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7.  </w:t>
            </w:r>
            <w:r w:rsidRPr="00AE4127">
              <w:rPr>
                <w:rFonts w:cs="Times New Roman"/>
                <w:i/>
                <w:sz w:val="20"/>
                <w:szCs w:val="20"/>
              </w:rPr>
              <w:t>Ind-median 3 digit</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0.216</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0.219</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0.224</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0.229</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0.224</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0.219</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0.216</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8.  </w:t>
            </w:r>
            <w:r w:rsidRPr="00AE4127">
              <w:rPr>
                <w:rFonts w:cs="Times New Roman"/>
                <w:i/>
                <w:sz w:val="20"/>
                <w:szCs w:val="20"/>
              </w:rPr>
              <w:t>Ind-median 2 digit</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0.214</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0.216</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0.219</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0.222</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0.219</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0.217</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0.219</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p>
        </w:tc>
        <w:tc>
          <w:tcPr>
            <w:tcW w:w="1277"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121"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9.  </w:t>
            </w:r>
            <w:r w:rsidRPr="00AE4127">
              <w:rPr>
                <w:rFonts w:cs="Times New Roman"/>
                <w:i/>
                <w:sz w:val="20"/>
                <w:szCs w:val="20"/>
              </w:rPr>
              <w:t>EBITDA</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0.155</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0.152</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0.137</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0.118</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0.129</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0.143</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0.149</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10. Log (Sales)</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4.606</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4.708</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4.806</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4.876</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4.969</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5.040</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5.122</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11. </w:t>
            </w:r>
            <w:r w:rsidRPr="00AE4127">
              <w:rPr>
                <w:rFonts w:cs="Times New Roman"/>
                <w:i/>
                <w:sz w:val="20"/>
                <w:szCs w:val="20"/>
              </w:rPr>
              <w:t>Market-to-book</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1.260</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1.223</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1.171</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1.166</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1.160</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1.172</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1.160</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12. </w:t>
            </w:r>
            <w:r w:rsidRPr="00AE4127">
              <w:rPr>
                <w:rFonts w:cs="Times New Roman"/>
                <w:i/>
                <w:sz w:val="20"/>
                <w:szCs w:val="20"/>
              </w:rPr>
              <w:t>Tangible assets</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0.292</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0.297</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0.299</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0.293</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0.290</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0.282</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0.281</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p>
        </w:tc>
        <w:tc>
          <w:tcPr>
            <w:tcW w:w="1277"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121"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c>
          <w:tcPr>
            <w:tcW w:w="1069" w:type="dxa"/>
            <w:vAlign w:val="center"/>
          </w:tcPr>
          <w:p w:rsidR="005861E2" w:rsidRPr="00675524" w:rsidRDefault="005861E2" w:rsidP="005861E2">
            <w:pPr>
              <w:widowControl w:val="0"/>
              <w:jc w:val="left"/>
              <w:rPr>
                <w:rFonts w:cs="Times New Roman"/>
                <w:sz w:val="20"/>
                <w:szCs w:val="20"/>
              </w:rPr>
            </w:pP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13. </w:t>
            </w:r>
            <w:r w:rsidRPr="00AE4127">
              <w:rPr>
                <w:rFonts w:cs="Times New Roman"/>
                <w:i/>
                <w:sz w:val="20"/>
                <w:szCs w:val="20"/>
              </w:rPr>
              <w:t>Asset growth</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0.099</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0.098</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0.102</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0.101</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0.010</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0.039</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0.055</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14. </w:t>
            </w:r>
            <w:r w:rsidRPr="00AE4127">
              <w:rPr>
                <w:rFonts w:cs="Times New Roman"/>
                <w:i/>
                <w:sz w:val="20"/>
                <w:szCs w:val="20"/>
              </w:rPr>
              <w:t>Capital expenditures</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0.063</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0.064</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0.062</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0.055</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0.039</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0.043</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0.049</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15. </w:t>
            </w:r>
            <w:r w:rsidRPr="00AE4127">
              <w:rPr>
                <w:rFonts w:cs="Times New Roman"/>
                <w:i/>
                <w:sz w:val="20"/>
                <w:szCs w:val="20"/>
              </w:rPr>
              <w:t>Financing deficit</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0.022</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0.027</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0.044</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0.094</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-0.044</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-0.018</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-0.011</w:t>
            </w:r>
          </w:p>
        </w:tc>
      </w:tr>
      <w:tr w:rsidR="005861E2" w:rsidRPr="00675524" w:rsidTr="005861E2">
        <w:trPr>
          <w:trHeight w:val="288"/>
          <w:jc w:val="center"/>
        </w:trPr>
        <w:tc>
          <w:tcPr>
            <w:tcW w:w="2193" w:type="dxa"/>
            <w:vAlign w:val="center"/>
          </w:tcPr>
          <w:p w:rsidR="005861E2" w:rsidRPr="00675524" w:rsidRDefault="005861E2" w:rsidP="005861E2">
            <w:pPr>
              <w:widowControl w:val="0"/>
              <w:jc w:val="left"/>
              <w:rPr>
                <w:rFonts w:cs="Times New Roman"/>
                <w:sz w:val="20"/>
                <w:szCs w:val="20"/>
              </w:rPr>
            </w:pPr>
            <w:r w:rsidRPr="00675524">
              <w:rPr>
                <w:rFonts w:cs="Times New Roman"/>
                <w:sz w:val="20"/>
                <w:szCs w:val="20"/>
              </w:rPr>
              <w:t xml:space="preserve">16. </w:t>
            </w:r>
            <w:r w:rsidRPr="00AE4127">
              <w:rPr>
                <w:rFonts w:cs="Times New Roman"/>
                <w:i/>
                <w:sz w:val="20"/>
                <w:szCs w:val="20"/>
              </w:rPr>
              <w:t>Change in debt</w:t>
            </w:r>
          </w:p>
        </w:tc>
        <w:tc>
          <w:tcPr>
            <w:tcW w:w="1277"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0.020</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0.029</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0.048</w:t>
            </w:r>
          </w:p>
        </w:tc>
        <w:tc>
          <w:tcPr>
            <w:tcW w:w="1121"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0.108</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-0.052</w:t>
            </w:r>
            <w:r>
              <w:rPr>
                <w:rFonts w:eastAsia="Times New Roman" w:cs="Times New Roman"/>
                <w:color w:val="000000"/>
                <w:sz w:val="20"/>
                <w:szCs w:val="20"/>
              </w:rPr>
              <w:t>***</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-0.021</w:t>
            </w:r>
          </w:p>
        </w:tc>
        <w:tc>
          <w:tcPr>
            <w:tcW w:w="1069" w:type="dxa"/>
            <w:vAlign w:val="center"/>
          </w:tcPr>
          <w:p w:rsidR="005861E2" w:rsidRPr="00675524" w:rsidRDefault="005861E2" w:rsidP="005861E2">
            <w:pPr>
              <w:widowControl w:val="0"/>
              <w:jc w:val="left"/>
              <w:rPr>
                <w:rFonts w:cs="Times New Roman"/>
                <w:sz w:val="20"/>
                <w:szCs w:val="20"/>
              </w:rPr>
            </w:pPr>
            <w:r w:rsidRPr="00675524">
              <w:rPr>
                <w:rFonts w:eastAsia="Times New Roman" w:cs="Times New Roman"/>
                <w:color w:val="000000"/>
                <w:sz w:val="20"/>
                <w:szCs w:val="20"/>
              </w:rPr>
              <w:t>-0.012</w:t>
            </w:r>
          </w:p>
        </w:tc>
      </w:tr>
    </w:tbl>
    <w:p w:rsidR="005861E2" w:rsidRDefault="005861E2" w:rsidP="005861E2">
      <w:pPr>
        <w:widowControl w:val="0"/>
        <w:rPr>
          <w:sz w:val="20"/>
          <w:szCs w:val="20"/>
        </w:rPr>
      </w:pPr>
    </w:p>
    <w:p w:rsidR="005861E2" w:rsidRDefault="005861E2" w:rsidP="005861E2">
      <w:pPr>
        <w:widowControl w:val="0"/>
        <w:rPr>
          <w:sz w:val="20"/>
          <w:szCs w:val="20"/>
        </w:rPr>
      </w:pPr>
    </w:p>
    <w:p w:rsidR="005861E2" w:rsidRDefault="005861E2" w:rsidP="005861E2">
      <w:pPr>
        <w:widowControl w:val="0"/>
        <w:rPr>
          <w:sz w:val="20"/>
          <w:szCs w:val="20"/>
        </w:rPr>
      </w:pPr>
    </w:p>
    <w:p w:rsidR="005861E2" w:rsidRDefault="005861E2" w:rsidP="005861E2">
      <w:pPr>
        <w:widowControl w:val="0"/>
        <w:rPr>
          <w:sz w:val="20"/>
          <w:szCs w:val="20"/>
        </w:rPr>
      </w:pPr>
    </w:p>
    <w:p w:rsidR="005861E2" w:rsidRDefault="00E84F3B" w:rsidP="005861E2">
      <w:pPr>
        <w:widowControl w:val="0"/>
        <w:jc w:val="center"/>
        <w:rPr>
          <w:b/>
          <w:sz w:val="20"/>
          <w:szCs w:val="20"/>
        </w:rPr>
      </w:pPr>
      <w:r>
        <w:rPr>
          <w:b/>
          <w:sz w:val="20"/>
          <w:szCs w:val="20"/>
        </w:rPr>
        <w:t xml:space="preserve">Table </w:t>
      </w:r>
      <w:r w:rsidR="00AA4744">
        <w:rPr>
          <w:b/>
          <w:sz w:val="20"/>
          <w:szCs w:val="20"/>
        </w:rPr>
        <w:t>IA.</w:t>
      </w:r>
      <w:r>
        <w:rPr>
          <w:b/>
          <w:sz w:val="20"/>
          <w:szCs w:val="20"/>
        </w:rPr>
        <w:t>IX</w:t>
      </w:r>
    </w:p>
    <w:p w:rsidR="005861E2" w:rsidRDefault="005861E2" w:rsidP="005861E2">
      <w:pPr>
        <w:widowControl w:val="0"/>
        <w:jc w:val="center"/>
        <w:rPr>
          <w:b/>
          <w:sz w:val="20"/>
          <w:szCs w:val="20"/>
        </w:rPr>
      </w:pPr>
    </w:p>
    <w:p w:rsidR="005861E2" w:rsidRDefault="005861E2" w:rsidP="005861E2">
      <w:pPr>
        <w:widowControl w:val="0"/>
        <w:jc w:val="center"/>
        <w:rPr>
          <w:b/>
          <w:sz w:val="20"/>
          <w:szCs w:val="20"/>
        </w:rPr>
      </w:pPr>
      <w:r>
        <w:rPr>
          <w:b/>
          <w:sz w:val="20"/>
          <w:szCs w:val="20"/>
        </w:rPr>
        <w:t>Target Leverage Variation and Leverage Troughs</w:t>
      </w:r>
    </w:p>
    <w:p w:rsidR="005861E2" w:rsidRDefault="005861E2" w:rsidP="005861E2">
      <w:pPr>
        <w:widowControl w:val="0"/>
        <w:rPr>
          <w:sz w:val="20"/>
          <w:szCs w:val="20"/>
        </w:rPr>
      </w:pPr>
    </w:p>
    <w:p w:rsidR="005861E2" w:rsidRPr="00AD54B8" w:rsidRDefault="005861E2" w:rsidP="005861E2">
      <w:pPr>
        <w:widowControl w:val="0"/>
        <w:rPr>
          <w:sz w:val="20"/>
          <w:szCs w:val="20"/>
        </w:rPr>
      </w:pPr>
      <w:r w:rsidRPr="00AD54B8">
        <w:rPr>
          <w:sz w:val="20"/>
          <w:szCs w:val="20"/>
        </w:rPr>
        <w:t>The table presents the me</w:t>
      </w:r>
      <w:r w:rsidR="00AD2652">
        <w:rPr>
          <w:sz w:val="20"/>
          <w:szCs w:val="20"/>
        </w:rPr>
        <w:t>di</w:t>
      </w:r>
      <w:r w:rsidRPr="00AD54B8">
        <w:rPr>
          <w:sz w:val="20"/>
          <w:szCs w:val="20"/>
        </w:rPr>
        <w:t xml:space="preserve">an values of </w:t>
      </w:r>
      <w:r w:rsidRPr="006F73CB">
        <w:rPr>
          <w:i/>
          <w:sz w:val="20"/>
          <w:szCs w:val="20"/>
        </w:rPr>
        <w:t>Debt/Total Assets</w:t>
      </w:r>
      <w:r w:rsidRPr="00AD54B8">
        <w:rPr>
          <w:sz w:val="20"/>
          <w:szCs w:val="20"/>
        </w:rPr>
        <w:t>, four estimates of target leverage ratios, and various financial var</w:t>
      </w:r>
      <w:r>
        <w:rPr>
          <w:sz w:val="20"/>
          <w:szCs w:val="20"/>
        </w:rPr>
        <w:t>iables surrounding leverage troughs (the low</w:t>
      </w:r>
      <w:r w:rsidRPr="00AD54B8">
        <w:rPr>
          <w:sz w:val="20"/>
          <w:szCs w:val="20"/>
        </w:rPr>
        <w:t xml:space="preserve">est ever </w:t>
      </w:r>
      <w:r w:rsidRPr="006F73CB">
        <w:rPr>
          <w:i/>
          <w:sz w:val="20"/>
          <w:szCs w:val="20"/>
        </w:rPr>
        <w:t>Debt/TA</w:t>
      </w:r>
      <w:r w:rsidRPr="00AD54B8">
        <w:rPr>
          <w:sz w:val="20"/>
          <w:szCs w:val="20"/>
        </w:rPr>
        <w:t xml:space="preserve"> ratio) for 1,699 firms listed 20 or more years on Compustat.  Event year </w:t>
      </w:r>
      <w:r w:rsidRPr="006F73CB">
        <w:rPr>
          <w:i/>
          <w:sz w:val="20"/>
          <w:szCs w:val="20"/>
        </w:rPr>
        <w:t>t</w:t>
      </w:r>
      <w:r>
        <w:rPr>
          <w:sz w:val="20"/>
          <w:szCs w:val="20"/>
        </w:rPr>
        <w:t>= 0 is the calendar year of trough</w:t>
      </w:r>
      <w:r w:rsidRPr="00AD54B8">
        <w:rPr>
          <w:sz w:val="20"/>
          <w:szCs w:val="20"/>
        </w:rPr>
        <w:t xml:space="preserve"> leverage while </w:t>
      </w:r>
      <w:r w:rsidRPr="006F73CB">
        <w:rPr>
          <w:i/>
          <w:sz w:val="20"/>
          <w:szCs w:val="20"/>
        </w:rPr>
        <w:t>t</w:t>
      </w:r>
      <w:r w:rsidRPr="00AD54B8">
        <w:rPr>
          <w:sz w:val="20"/>
          <w:szCs w:val="20"/>
        </w:rPr>
        <w:t xml:space="preserve"> = 1 is the year immediately after the peak. All other event years over </w:t>
      </w:r>
      <w:r w:rsidRPr="006F73CB">
        <w:rPr>
          <w:i/>
          <w:sz w:val="20"/>
          <w:szCs w:val="20"/>
        </w:rPr>
        <w:t>t</w:t>
      </w:r>
      <w:r w:rsidRPr="00AD54B8">
        <w:rPr>
          <w:sz w:val="20"/>
          <w:szCs w:val="20"/>
        </w:rPr>
        <w:t xml:space="preserve"> = -3 to </w:t>
      </w:r>
      <w:r w:rsidRPr="006F73CB">
        <w:rPr>
          <w:i/>
          <w:sz w:val="20"/>
          <w:szCs w:val="20"/>
        </w:rPr>
        <w:t>t</w:t>
      </w:r>
      <w:r w:rsidRPr="00AD54B8">
        <w:rPr>
          <w:sz w:val="20"/>
          <w:szCs w:val="20"/>
        </w:rPr>
        <w:t xml:space="preserve"> = 3 are defined analogously.  When a firm has multiple perio</w:t>
      </w:r>
      <w:r>
        <w:rPr>
          <w:sz w:val="20"/>
          <w:szCs w:val="20"/>
        </w:rPr>
        <w:t xml:space="preserve">ds with the same trough </w:t>
      </w:r>
      <w:r w:rsidRPr="00AD54B8">
        <w:rPr>
          <w:sz w:val="20"/>
          <w:szCs w:val="20"/>
        </w:rPr>
        <w:t xml:space="preserve">leverage, we use the first such period here.  With </w:t>
      </w:r>
      <w:r w:rsidRPr="006F73CB">
        <w:rPr>
          <w:i/>
          <w:sz w:val="20"/>
          <w:szCs w:val="20"/>
        </w:rPr>
        <w:t>Target model 1</w:t>
      </w:r>
      <w:r w:rsidRPr="00AD54B8">
        <w:rPr>
          <w:sz w:val="20"/>
          <w:szCs w:val="20"/>
        </w:rPr>
        <w:t xml:space="preserve">, the target leverage ratio of a firm is estimated as the fitted value from a regression (using the full sample) of </w:t>
      </w:r>
      <w:r w:rsidRPr="006F73CB">
        <w:rPr>
          <w:i/>
          <w:sz w:val="20"/>
          <w:szCs w:val="20"/>
        </w:rPr>
        <w:t>Debt/TA</w:t>
      </w:r>
      <w:r w:rsidRPr="00AD54B8">
        <w:rPr>
          <w:sz w:val="20"/>
          <w:szCs w:val="20"/>
        </w:rPr>
        <w:t xml:space="preserve"> on the four Rajan and Zingales (1995</w:t>
      </w:r>
      <w:r>
        <w:rPr>
          <w:sz w:val="20"/>
          <w:szCs w:val="20"/>
        </w:rPr>
        <w:t>) variables specified in rows 9 to 12</w:t>
      </w:r>
      <w:r w:rsidRPr="00AD54B8">
        <w:rPr>
          <w:sz w:val="20"/>
          <w:szCs w:val="20"/>
        </w:rPr>
        <w:t xml:space="preserve">. </w:t>
      </w:r>
      <w:r w:rsidR="00C37FFC">
        <w:rPr>
          <w:sz w:val="20"/>
          <w:szCs w:val="20"/>
        </w:rPr>
        <w:t xml:space="preserve"> For</w:t>
      </w:r>
      <w:r w:rsidRPr="006F73CB">
        <w:rPr>
          <w:i/>
          <w:sz w:val="20"/>
          <w:szCs w:val="20"/>
        </w:rPr>
        <w:t>Target models 2, 3</w:t>
      </w:r>
      <w:r w:rsidRPr="00AD54B8">
        <w:rPr>
          <w:sz w:val="20"/>
          <w:szCs w:val="20"/>
        </w:rPr>
        <w:t xml:space="preserve">, and </w:t>
      </w:r>
      <w:r w:rsidRPr="006F73CB">
        <w:rPr>
          <w:i/>
          <w:sz w:val="20"/>
          <w:szCs w:val="20"/>
        </w:rPr>
        <w:t>4</w:t>
      </w:r>
      <w:r w:rsidR="00C37FFC">
        <w:rPr>
          <w:i/>
          <w:sz w:val="20"/>
          <w:szCs w:val="20"/>
        </w:rPr>
        <w:t>,</w:t>
      </w:r>
      <w:r w:rsidR="00C37FFC">
        <w:rPr>
          <w:sz w:val="20"/>
          <w:szCs w:val="20"/>
        </w:rPr>
        <w:t xml:space="preserve">we </w:t>
      </w:r>
      <w:r w:rsidRPr="00AD54B8">
        <w:rPr>
          <w:sz w:val="20"/>
          <w:szCs w:val="20"/>
        </w:rPr>
        <w:t xml:space="preserve">generate target ratio estimates in similar fashion.  The only difference is that now industry-median leverage (at respectively the </w:t>
      </w:r>
      <w:r w:rsidR="006C38E0">
        <w:rPr>
          <w:sz w:val="20"/>
          <w:szCs w:val="20"/>
        </w:rPr>
        <w:t>four-digit</w:t>
      </w:r>
      <w:r w:rsidRPr="00AD54B8">
        <w:rPr>
          <w:sz w:val="20"/>
          <w:szCs w:val="20"/>
        </w:rPr>
        <w:t xml:space="preserve">, </w:t>
      </w:r>
      <w:r w:rsidR="006C38E0">
        <w:rPr>
          <w:sz w:val="20"/>
          <w:szCs w:val="20"/>
        </w:rPr>
        <w:t>three-digit</w:t>
      </w:r>
      <w:r w:rsidRPr="00AD54B8">
        <w:rPr>
          <w:sz w:val="20"/>
          <w:szCs w:val="20"/>
        </w:rPr>
        <w:t xml:space="preserve">, or </w:t>
      </w:r>
      <w:r w:rsidR="006C38E0">
        <w:rPr>
          <w:sz w:val="20"/>
          <w:szCs w:val="20"/>
        </w:rPr>
        <w:t>two-digit</w:t>
      </w:r>
      <w:r w:rsidRPr="00AD54B8">
        <w:rPr>
          <w:sz w:val="20"/>
          <w:szCs w:val="20"/>
        </w:rPr>
        <w:t xml:space="preserve"> SIC level) is included as an explanatory variable along with the determinants used in the first model.  The firm under analysis is excluded from the calculation generating industry-median leverage.  If there are no other firms in the same </w:t>
      </w:r>
      <w:r w:rsidR="006C38E0">
        <w:rPr>
          <w:sz w:val="20"/>
          <w:szCs w:val="20"/>
        </w:rPr>
        <w:t>four-digit</w:t>
      </w:r>
      <w:r w:rsidRPr="00AD54B8">
        <w:rPr>
          <w:sz w:val="20"/>
          <w:szCs w:val="20"/>
        </w:rPr>
        <w:t xml:space="preserve"> (</w:t>
      </w:r>
      <w:r w:rsidR="006C38E0">
        <w:rPr>
          <w:sz w:val="20"/>
          <w:szCs w:val="20"/>
        </w:rPr>
        <w:t>three-digit</w:t>
      </w:r>
      <w:r w:rsidRPr="00AD54B8">
        <w:rPr>
          <w:sz w:val="20"/>
          <w:szCs w:val="20"/>
        </w:rPr>
        <w:t xml:space="preserve">) industry, we use the </w:t>
      </w:r>
      <w:r w:rsidR="006C38E0">
        <w:rPr>
          <w:sz w:val="20"/>
          <w:szCs w:val="20"/>
        </w:rPr>
        <w:t>three-digit</w:t>
      </w:r>
      <w:r w:rsidRPr="00AD54B8">
        <w:rPr>
          <w:sz w:val="20"/>
          <w:szCs w:val="20"/>
        </w:rPr>
        <w:t xml:space="preserve"> (</w:t>
      </w:r>
      <w:r w:rsidR="006C38E0">
        <w:rPr>
          <w:sz w:val="20"/>
          <w:szCs w:val="20"/>
        </w:rPr>
        <w:t>two-digit</w:t>
      </w:r>
      <w:r w:rsidRPr="00AD54B8">
        <w:rPr>
          <w:sz w:val="20"/>
          <w:szCs w:val="20"/>
        </w:rPr>
        <w:t xml:space="preserve">) industry-median leverage ratio instead.  </w:t>
      </w:r>
      <w:r w:rsidRPr="006F73CB">
        <w:rPr>
          <w:i/>
          <w:sz w:val="20"/>
          <w:szCs w:val="20"/>
        </w:rPr>
        <w:t>Asset growth</w:t>
      </w:r>
      <w:r w:rsidRPr="00AD54B8">
        <w:rPr>
          <w:sz w:val="20"/>
          <w:szCs w:val="20"/>
        </w:rPr>
        <w:t xml:space="preserve"> equals assets in event year </w:t>
      </w:r>
      <w:r w:rsidRPr="00AD6D42">
        <w:rPr>
          <w:i/>
          <w:sz w:val="20"/>
          <w:szCs w:val="20"/>
        </w:rPr>
        <w:t>t</w:t>
      </w:r>
      <w:r w:rsidRPr="00AD54B8">
        <w:rPr>
          <w:sz w:val="20"/>
          <w:szCs w:val="20"/>
        </w:rPr>
        <w:t xml:space="preserve"> minus assets in year </w:t>
      </w:r>
      <w:r w:rsidRPr="00AD6D42">
        <w:rPr>
          <w:i/>
          <w:sz w:val="20"/>
          <w:szCs w:val="20"/>
        </w:rPr>
        <w:t>t-</w:t>
      </w:r>
      <w:r w:rsidRPr="00DE2A70">
        <w:rPr>
          <w:sz w:val="20"/>
          <w:szCs w:val="20"/>
        </w:rPr>
        <w:t>1</w:t>
      </w:r>
      <w:r w:rsidRPr="00AD54B8">
        <w:rPr>
          <w:sz w:val="20"/>
          <w:szCs w:val="20"/>
        </w:rPr>
        <w:t>, all divided by assets in</w:t>
      </w:r>
      <w:r w:rsidRPr="00AD6D42">
        <w:rPr>
          <w:i/>
          <w:sz w:val="20"/>
          <w:szCs w:val="20"/>
        </w:rPr>
        <w:t xml:space="preserve"> t-</w:t>
      </w:r>
      <w:r w:rsidRPr="00DE2A70">
        <w:rPr>
          <w:sz w:val="20"/>
          <w:szCs w:val="20"/>
        </w:rPr>
        <w:t>1</w:t>
      </w:r>
      <w:r w:rsidRPr="00745B15">
        <w:rPr>
          <w:sz w:val="20"/>
          <w:szCs w:val="20"/>
        </w:rPr>
        <w:t>.</w:t>
      </w:r>
      <w:r w:rsidRPr="00AD54B8">
        <w:rPr>
          <w:sz w:val="20"/>
          <w:szCs w:val="20"/>
        </w:rPr>
        <w:t xml:space="preserve">  The same divisor is applied to year </w:t>
      </w:r>
      <w:r w:rsidR="00AD6D42">
        <w:rPr>
          <w:i/>
          <w:sz w:val="20"/>
          <w:szCs w:val="20"/>
        </w:rPr>
        <w:t>t Capital expenditures, Financing deficit, C</w:t>
      </w:r>
      <w:r w:rsidRPr="00AD6D42">
        <w:rPr>
          <w:i/>
          <w:sz w:val="20"/>
          <w:szCs w:val="20"/>
        </w:rPr>
        <w:t>hange in debt</w:t>
      </w:r>
      <w:r w:rsidRPr="00AD54B8">
        <w:rPr>
          <w:sz w:val="20"/>
          <w:szCs w:val="20"/>
        </w:rPr>
        <w:t xml:space="preserve">, and </w:t>
      </w:r>
      <w:r w:rsidRPr="00AD6D42">
        <w:rPr>
          <w:i/>
          <w:sz w:val="20"/>
          <w:szCs w:val="20"/>
        </w:rPr>
        <w:t>EBITDA</w:t>
      </w:r>
      <w:r w:rsidRPr="00AD54B8">
        <w:rPr>
          <w:sz w:val="20"/>
          <w:szCs w:val="20"/>
        </w:rPr>
        <w:t xml:space="preserve">.  For tangible assets in year </w:t>
      </w:r>
      <w:r w:rsidRPr="00AD6D42">
        <w:rPr>
          <w:i/>
          <w:sz w:val="20"/>
          <w:szCs w:val="20"/>
        </w:rPr>
        <w:t>t</w:t>
      </w:r>
      <w:r w:rsidRPr="00AD54B8">
        <w:rPr>
          <w:sz w:val="20"/>
          <w:szCs w:val="20"/>
        </w:rPr>
        <w:t xml:space="preserve">, we divide by total assets in year </w:t>
      </w:r>
      <w:r w:rsidRPr="00AD6D42">
        <w:rPr>
          <w:i/>
          <w:sz w:val="20"/>
          <w:szCs w:val="20"/>
        </w:rPr>
        <w:t>t</w:t>
      </w:r>
      <w:r w:rsidRPr="00AD54B8">
        <w:rPr>
          <w:sz w:val="20"/>
          <w:szCs w:val="20"/>
        </w:rPr>
        <w:t xml:space="preserve">.  The financing deficit measures the amount of external financing net of distributions in a given year and equals the sum of net equity issues and net debt issues.  </w:t>
      </w:r>
      <w:r w:rsidR="00745B15">
        <w:rPr>
          <w:sz w:val="20"/>
          <w:szCs w:val="20"/>
        </w:rPr>
        <w:t>(</w:t>
      </w:r>
      <w:r w:rsidRPr="00AD54B8">
        <w:rPr>
          <w:sz w:val="20"/>
          <w:szCs w:val="20"/>
        </w:rPr>
        <w:t>A negative financing deficit (i.e., a financing surplus) indicates that, on net, the firm does not raise outside funds in the period under consideration</w:t>
      </w:r>
      <w:r w:rsidR="00745B15" w:rsidRPr="00AD54B8">
        <w:rPr>
          <w:sz w:val="20"/>
          <w:szCs w:val="20"/>
        </w:rPr>
        <w:t>.</w:t>
      </w:r>
      <w:r w:rsidR="00745B15">
        <w:rPr>
          <w:sz w:val="20"/>
          <w:szCs w:val="20"/>
        </w:rPr>
        <w:t>)</w:t>
      </w:r>
      <w:r w:rsidRPr="00AD54B8">
        <w:rPr>
          <w:sz w:val="20"/>
          <w:szCs w:val="20"/>
        </w:rPr>
        <w:t xml:space="preserve">We employ the change in total debt outstanding as the measure of net debt issues to avoid sample-size shrinkage because of missing values on Compustat of the latter variable.  For inclusion in this table, firms must be listed on Compustat through year </w:t>
      </w:r>
      <w:r w:rsidRPr="006F73CB">
        <w:rPr>
          <w:i/>
          <w:sz w:val="20"/>
          <w:szCs w:val="20"/>
        </w:rPr>
        <w:t>t</w:t>
      </w:r>
      <w:r w:rsidRPr="00AD54B8">
        <w:rPr>
          <w:sz w:val="20"/>
          <w:szCs w:val="20"/>
        </w:rPr>
        <w:t xml:space="preserve"> = 3.  The variables in rows 9 to 16 ar</w:t>
      </w:r>
      <w:r>
        <w:rPr>
          <w:sz w:val="20"/>
          <w:szCs w:val="20"/>
        </w:rPr>
        <w:t xml:space="preserve">e Winsorized at the 1% level.  In the </w:t>
      </w:r>
      <w:r w:rsidRPr="006F73CB">
        <w:rPr>
          <w:i/>
          <w:sz w:val="20"/>
          <w:szCs w:val="20"/>
        </w:rPr>
        <w:t>t</w:t>
      </w:r>
      <w:r>
        <w:rPr>
          <w:sz w:val="20"/>
          <w:szCs w:val="20"/>
        </w:rPr>
        <w:t xml:space="preserve"> = 1 column, w</w:t>
      </w:r>
      <w:r w:rsidRPr="00AD54B8">
        <w:rPr>
          <w:sz w:val="20"/>
          <w:szCs w:val="20"/>
        </w:rPr>
        <w:t>e use</w:t>
      </w:r>
      <w:r w:rsidR="00214F12">
        <w:rPr>
          <w:sz w:val="20"/>
          <w:szCs w:val="20"/>
        </w:rPr>
        <w:t xml:space="preserve"> w</w:t>
      </w:r>
      <w:r w:rsidR="00214F12" w:rsidRPr="00AD54B8">
        <w:rPr>
          <w:sz w:val="20"/>
          <w:szCs w:val="20"/>
        </w:rPr>
        <w:t>e use</w:t>
      </w:r>
      <w:r w:rsidR="00745B15">
        <w:rPr>
          <w:sz w:val="20"/>
          <w:szCs w:val="20"/>
        </w:rPr>
        <w:t>***, **, and *, respectively,</w:t>
      </w:r>
      <w:r w:rsidR="00214F12" w:rsidRPr="00AD54B8">
        <w:rPr>
          <w:sz w:val="20"/>
          <w:szCs w:val="20"/>
        </w:rPr>
        <w:t>to identify signific</w:t>
      </w:r>
      <w:r w:rsidR="00214F12">
        <w:rPr>
          <w:sz w:val="20"/>
          <w:szCs w:val="20"/>
        </w:rPr>
        <w:t>ant differences at the 0.00,</w:t>
      </w:r>
      <w:r w:rsidR="00214F12" w:rsidRPr="00AD54B8">
        <w:rPr>
          <w:sz w:val="20"/>
          <w:szCs w:val="20"/>
        </w:rPr>
        <w:t xml:space="preserve"> 0.01</w:t>
      </w:r>
      <w:r w:rsidR="00214F12">
        <w:rPr>
          <w:sz w:val="20"/>
          <w:szCs w:val="20"/>
        </w:rPr>
        <w:t>, and 0.10</w:t>
      </w:r>
      <w:r w:rsidRPr="00AD54B8">
        <w:rPr>
          <w:sz w:val="20"/>
          <w:szCs w:val="20"/>
        </w:rPr>
        <w:t>or better for Wilco</w:t>
      </w:r>
      <w:r>
        <w:rPr>
          <w:sz w:val="20"/>
          <w:szCs w:val="20"/>
        </w:rPr>
        <w:t xml:space="preserve">xon tests that compare the </w:t>
      </w:r>
      <w:r w:rsidRPr="006F73CB">
        <w:rPr>
          <w:i/>
          <w:sz w:val="20"/>
          <w:szCs w:val="20"/>
        </w:rPr>
        <w:t>t</w:t>
      </w:r>
      <w:r>
        <w:rPr>
          <w:sz w:val="20"/>
          <w:szCs w:val="20"/>
        </w:rPr>
        <w:t xml:space="preserve"> = 1</w:t>
      </w:r>
      <w:r w:rsidRPr="00AD54B8">
        <w:rPr>
          <w:sz w:val="20"/>
          <w:szCs w:val="20"/>
        </w:rPr>
        <w:t xml:space="preserve"> median va</w:t>
      </w:r>
      <w:r>
        <w:rPr>
          <w:sz w:val="20"/>
          <w:szCs w:val="20"/>
        </w:rPr>
        <w:t xml:space="preserve">lue of a variable and its </w:t>
      </w:r>
      <w:r w:rsidRPr="006F73CB">
        <w:rPr>
          <w:i/>
          <w:sz w:val="20"/>
          <w:szCs w:val="20"/>
        </w:rPr>
        <w:t>t</w:t>
      </w:r>
      <w:r>
        <w:rPr>
          <w:sz w:val="20"/>
          <w:szCs w:val="20"/>
        </w:rPr>
        <w:t xml:space="preserve"> = 0</w:t>
      </w:r>
      <w:r w:rsidRPr="00AD54B8">
        <w:rPr>
          <w:sz w:val="20"/>
          <w:szCs w:val="20"/>
        </w:rPr>
        <w:t xml:space="preserve"> value.  </w:t>
      </w:r>
    </w:p>
    <w:p w:rsidR="005861E2" w:rsidRDefault="005861E2" w:rsidP="005861E2">
      <w:pPr>
        <w:widowControl w:val="0"/>
        <w:rPr>
          <w:sz w:val="20"/>
          <w:szCs w:val="20"/>
        </w:rPr>
      </w:pPr>
    </w:p>
    <w:tbl>
      <w:tblPr>
        <w:tblStyle w:val="TableGrid"/>
        <w:tblW w:w="9936" w:type="dxa"/>
        <w:jc w:val="center"/>
        <w:tblBorders>
          <w:left w:val="none" w:sz="0" w:space="0" w:color="auto"/>
          <w:right w:val="none" w:sz="0" w:space="0" w:color="auto"/>
          <w:insideH w:val="none" w:sz="0" w:space="0" w:color="auto"/>
          <w:insideV w:val="none" w:sz="0" w:space="0" w:color="auto"/>
        </w:tblBorders>
        <w:tblLook w:val="04A0"/>
      </w:tblPr>
      <w:tblGrid>
        <w:gridCol w:w="2193"/>
        <w:gridCol w:w="1277"/>
        <w:gridCol w:w="1069"/>
        <w:gridCol w:w="1069"/>
        <w:gridCol w:w="1121"/>
        <w:gridCol w:w="1069"/>
        <w:gridCol w:w="1069"/>
        <w:gridCol w:w="1069"/>
      </w:tblGrid>
      <w:tr w:rsidR="005861E2" w:rsidTr="00DE2A70">
        <w:trPr>
          <w:jc w:val="center"/>
        </w:trPr>
        <w:tc>
          <w:tcPr>
            <w:tcW w:w="2193" w:type="dxa"/>
            <w:tcBorders>
              <w:top w:val="single" w:sz="4" w:space="0" w:color="000000" w:themeColor="text1"/>
              <w:bottom w:val="nil"/>
            </w:tcBorders>
          </w:tcPr>
          <w:p w:rsidR="005861E2" w:rsidRDefault="005861E2" w:rsidP="005861E2">
            <w:pPr>
              <w:widowControl w:val="0"/>
              <w:jc w:val="center"/>
              <w:rPr>
                <w:sz w:val="20"/>
                <w:szCs w:val="20"/>
              </w:rPr>
            </w:pPr>
          </w:p>
        </w:tc>
        <w:tc>
          <w:tcPr>
            <w:tcW w:w="7743" w:type="dxa"/>
            <w:gridSpan w:val="7"/>
            <w:tcBorders>
              <w:top w:val="single" w:sz="4" w:space="0" w:color="000000" w:themeColor="text1"/>
              <w:bottom w:val="single" w:sz="4" w:space="0" w:color="auto"/>
            </w:tcBorders>
          </w:tcPr>
          <w:p w:rsidR="005861E2" w:rsidRDefault="005861E2" w:rsidP="005861E2">
            <w:pPr>
              <w:widowControl w:val="0"/>
              <w:jc w:val="center"/>
              <w:rPr>
                <w:sz w:val="20"/>
                <w:szCs w:val="20"/>
              </w:rPr>
            </w:pPr>
            <w:r>
              <w:rPr>
                <w:sz w:val="20"/>
                <w:szCs w:val="20"/>
              </w:rPr>
              <w:t>Event year relative to leverage trough in year 0:</w:t>
            </w:r>
          </w:p>
        </w:tc>
      </w:tr>
      <w:tr w:rsidR="005861E2" w:rsidTr="00DE2A70">
        <w:trPr>
          <w:jc w:val="center"/>
        </w:trPr>
        <w:tc>
          <w:tcPr>
            <w:tcW w:w="2193" w:type="dxa"/>
            <w:tcBorders>
              <w:top w:val="nil"/>
              <w:bottom w:val="single" w:sz="4" w:space="0" w:color="000000" w:themeColor="text1"/>
            </w:tcBorders>
          </w:tcPr>
          <w:p w:rsidR="005861E2" w:rsidRDefault="005861E2" w:rsidP="00AD2652">
            <w:pPr>
              <w:widowControl w:val="0"/>
              <w:rPr>
                <w:sz w:val="20"/>
                <w:szCs w:val="20"/>
              </w:rPr>
            </w:pPr>
            <w:r>
              <w:rPr>
                <w:sz w:val="20"/>
                <w:szCs w:val="20"/>
              </w:rPr>
              <w:t>Median value of</w:t>
            </w:r>
          </w:p>
        </w:tc>
        <w:tc>
          <w:tcPr>
            <w:tcW w:w="1277"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-3</w:t>
            </w:r>
          </w:p>
        </w:tc>
        <w:tc>
          <w:tcPr>
            <w:tcW w:w="1069"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-2</w:t>
            </w:r>
          </w:p>
        </w:tc>
        <w:tc>
          <w:tcPr>
            <w:tcW w:w="1069"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-1</w:t>
            </w:r>
          </w:p>
        </w:tc>
        <w:tc>
          <w:tcPr>
            <w:tcW w:w="1121"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0</w:t>
            </w:r>
          </w:p>
        </w:tc>
        <w:tc>
          <w:tcPr>
            <w:tcW w:w="1069"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1</w:t>
            </w:r>
          </w:p>
        </w:tc>
        <w:tc>
          <w:tcPr>
            <w:tcW w:w="1069"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2</w:t>
            </w:r>
          </w:p>
        </w:tc>
        <w:tc>
          <w:tcPr>
            <w:tcW w:w="1069" w:type="dxa"/>
            <w:tcBorders>
              <w:top w:val="single" w:sz="4" w:space="0" w:color="auto"/>
              <w:bottom w:val="single" w:sz="4" w:space="0" w:color="000000" w:themeColor="text1"/>
            </w:tcBorders>
          </w:tcPr>
          <w:p w:rsidR="005861E2" w:rsidRDefault="005861E2" w:rsidP="005861E2">
            <w:pPr>
              <w:widowControl w:val="0"/>
              <w:jc w:val="left"/>
              <w:rPr>
                <w:sz w:val="20"/>
                <w:szCs w:val="20"/>
              </w:rPr>
            </w:pPr>
            <w:r>
              <w:rPr>
                <w:sz w:val="20"/>
                <w:szCs w:val="20"/>
              </w:rPr>
              <w:t>3</w:t>
            </w:r>
          </w:p>
        </w:tc>
      </w:tr>
      <w:tr w:rsidR="005861E2" w:rsidRPr="00EC05DE" w:rsidTr="005861E2">
        <w:trPr>
          <w:trHeight w:val="288"/>
          <w:jc w:val="center"/>
        </w:trPr>
        <w:tc>
          <w:tcPr>
            <w:tcW w:w="2193" w:type="dxa"/>
            <w:tcBorders>
              <w:top w:val="single" w:sz="4" w:space="0" w:color="000000" w:themeColor="text1"/>
            </w:tcBorders>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1. </w:t>
            </w:r>
            <w:r w:rsidRPr="006F73CB">
              <w:rPr>
                <w:rFonts w:cs="Times New Roman"/>
                <w:i/>
                <w:sz w:val="20"/>
                <w:szCs w:val="20"/>
              </w:rPr>
              <w:t>Debt/Total Assets</w:t>
            </w:r>
          </w:p>
        </w:tc>
        <w:tc>
          <w:tcPr>
            <w:tcW w:w="1277" w:type="dxa"/>
            <w:tcBorders>
              <w:top w:val="single" w:sz="4" w:space="0" w:color="000000" w:themeColor="text1"/>
            </w:tcBorders>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0.107</w:t>
            </w:r>
          </w:p>
        </w:tc>
        <w:tc>
          <w:tcPr>
            <w:tcW w:w="1069" w:type="dxa"/>
            <w:tcBorders>
              <w:top w:val="single" w:sz="4" w:space="0" w:color="000000" w:themeColor="text1"/>
            </w:tcBorders>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0.077</w:t>
            </w:r>
          </w:p>
        </w:tc>
        <w:tc>
          <w:tcPr>
            <w:tcW w:w="1069" w:type="dxa"/>
            <w:tcBorders>
              <w:top w:val="single" w:sz="4" w:space="0" w:color="000000" w:themeColor="text1"/>
            </w:tcBorders>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0.047</w:t>
            </w:r>
          </w:p>
        </w:tc>
        <w:tc>
          <w:tcPr>
            <w:tcW w:w="1121" w:type="dxa"/>
            <w:tcBorders>
              <w:top w:val="single" w:sz="4" w:space="0" w:color="000000" w:themeColor="text1"/>
            </w:tcBorders>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0.010</w:t>
            </w:r>
          </w:p>
        </w:tc>
        <w:tc>
          <w:tcPr>
            <w:tcW w:w="1069" w:type="dxa"/>
            <w:tcBorders>
              <w:top w:val="single" w:sz="4" w:space="0" w:color="000000" w:themeColor="text1"/>
            </w:tcBorders>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0.131</w:t>
            </w:r>
            <w:r>
              <w:rPr>
                <w:rFonts w:eastAsia="Times New Roman" w:cs="Times New Roman"/>
                <w:color w:val="000000"/>
                <w:sz w:val="20"/>
                <w:szCs w:val="20"/>
              </w:rPr>
              <w:t>***</w:t>
            </w:r>
          </w:p>
        </w:tc>
        <w:tc>
          <w:tcPr>
            <w:tcW w:w="1069" w:type="dxa"/>
            <w:tcBorders>
              <w:top w:val="single" w:sz="4" w:space="0" w:color="000000" w:themeColor="text1"/>
            </w:tcBorders>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0.169</w:t>
            </w:r>
          </w:p>
        </w:tc>
        <w:tc>
          <w:tcPr>
            <w:tcW w:w="1069" w:type="dxa"/>
            <w:tcBorders>
              <w:top w:val="single" w:sz="4" w:space="0" w:color="000000" w:themeColor="text1"/>
            </w:tcBorders>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0.186</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2. </w:t>
            </w:r>
            <w:r w:rsidRPr="006F73CB">
              <w:rPr>
                <w:rFonts w:cs="Times New Roman"/>
                <w:i/>
                <w:sz w:val="20"/>
                <w:szCs w:val="20"/>
              </w:rPr>
              <w:t>Target model 1</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0.236</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0.232</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0.230</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0.228</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0.227</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0.234</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0.240</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3. </w:t>
            </w:r>
            <w:r w:rsidRPr="006F73CB">
              <w:rPr>
                <w:rFonts w:cs="Times New Roman"/>
                <w:i/>
                <w:sz w:val="20"/>
                <w:szCs w:val="20"/>
              </w:rPr>
              <w:t>Target model 2</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0.238</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0.233</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0.232</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0.230</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0.228</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0.236</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0.242</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4. </w:t>
            </w:r>
            <w:r w:rsidRPr="006F73CB">
              <w:rPr>
                <w:rFonts w:cs="Times New Roman"/>
                <w:i/>
                <w:sz w:val="20"/>
                <w:szCs w:val="20"/>
              </w:rPr>
              <w:t>Target model 3</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0.237</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0.233</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0.230</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0.230</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0.231</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0.237</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0.246</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5. </w:t>
            </w:r>
            <w:r w:rsidRPr="006F73CB">
              <w:rPr>
                <w:rFonts w:cs="Times New Roman"/>
                <w:i/>
                <w:sz w:val="20"/>
                <w:szCs w:val="20"/>
              </w:rPr>
              <w:t>Target model 4</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0.241</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0.236</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0.232</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0.231</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0.230</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0.240</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0.245</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p>
        </w:tc>
        <w:tc>
          <w:tcPr>
            <w:tcW w:w="1277"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121"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6.  </w:t>
            </w:r>
            <w:r w:rsidRPr="006F73CB">
              <w:rPr>
                <w:rFonts w:cs="Times New Roman"/>
                <w:i/>
                <w:sz w:val="20"/>
                <w:szCs w:val="20"/>
              </w:rPr>
              <w:t>Ind-median 4-digit</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0.193</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0.189</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0.193</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0.198</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0.201</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0.206</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0.208</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7.  </w:t>
            </w:r>
            <w:r w:rsidRPr="006F73CB">
              <w:rPr>
                <w:rFonts w:cs="Times New Roman"/>
                <w:i/>
                <w:sz w:val="20"/>
                <w:szCs w:val="20"/>
              </w:rPr>
              <w:t>Ind-median 3 digit</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0.198</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0.195</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0.195</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0.196</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0.202</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0.207</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0.209</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8.  </w:t>
            </w:r>
            <w:r w:rsidRPr="006F73CB">
              <w:rPr>
                <w:rFonts w:cs="Times New Roman"/>
                <w:i/>
                <w:sz w:val="20"/>
                <w:szCs w:val="20"/>
              </w:rPr>
              <w:t>Ind-median 2 digit</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0.199</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0.197</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0.198</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0.199</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0.203</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0.207</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0.208</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p>
        </w:tc>
        <w:tc>
          <w:tcPr>
            <w:tcW w:w="1277"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121"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9.  </w:t>
            </w:r>
            <w:r w:rsidRPr="006F73CB">
              <w:rPr>
                <w:rFonts w:cs="Times New Roman"/>
                <w:i/>
                <w:sz w:val="20"/>
                <w:szCs w:val="20"/>
              </w:rPr>
              <w:t>EBITDA</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0.174</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0.178</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0.187</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0.190</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0.185</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0.161</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0.154</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10. </w:t>
            </w:r>
            <w:r w:rsidRPr="006F73CB">
              <w:rPr>
                <w:rFonts w:cs="Times New Roman"/>
                <w:i/>
                <w:sz w:val="20"/>
                <w:szCs w:val="20"/>
              </w:rPr>
              <w:t>Log (Sales)</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4.251</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4.356</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4.469</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4.567</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4.690</w:t>
            </w:r>
            <w:r>
              <w:rPr>
                <w:rFonts w:eastAsia="Times New Roman" w:cs="Times New Roman"/>
                <w:color w:val="000000"/>
                <w:sz w:val="20"/>
                <w:szCs w:val="20"/>
              </w:rPr>
              <w:t>*</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4.818</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4.921</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11. </w:t>
            </w:r>
            <w:r w:rsidRPr="006F73CB">
              <w:rPr>
                <w:rFonts w:cs="Times New Roman"/>
                <w:i/>
                <w:sz w:val="20"/>
                <w:szCs w:val="20"/>
              </w:rPr>
              <w:t>Market-to-book</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1.278</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1.291</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1.357</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1.417</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1.328</w:t>
            </w:r>
            <w:r>
              <w:rPr>
                <w:rFonts w:eastAsia="Times New Roman" w:cs="Times New Roman"/>
                <w:color w:val="000000"/>
                <w:sz w:val="20"/>
                <w:szCs w:val="20"/>
              </w:rPr>
              <w:t>**</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1.258</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1.253</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12. </w:t>
            </w:r>
            <w:r w:rsidRPr="006F73CB">
              <w:rPr>
                <w:rFonts w:cs="Times New Roman"/>
                <w:i/>
                <w:sz w:val="20"/>
                <w:szCs w:val="20"/>
              </w:rPr>
              <w:t>Tangible assets</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0.275</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0.269</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0.265</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0.260</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0.285</w:t>
            </w:r>
            <w:r>
              <w:rPr>
                <w:rFonts w:eastAsia="Times New Roman" w:cs="Times New Roman"/>
                <w:color w:val="000000"/>
                <w:sz w:val="20"/>
                <w:szCs w:val="20"/>
              </w:rPr>
              <w:t>**</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0.291</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0.291</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p>
        </w:tc>
        <w:tc>
          <w:tcPr>
            <w:tcW w:w="1277"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121"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c>
          <w:tcPr>
            <w:tcW w:w="1069" w:type="dxa"/>
            <w:vAlign w:val="center"/>
          </w:tcPr>
          <w:p w:rsidR="005861E2" w:rsidRPr="00EC05DE" w:rsidRDefault="005861E2" w:rsidP="005861E2">
            <w:pPr>
              <w:widowControl w:val="0"/>
              <w:jc w:val="left"/>
              <w:rPr>
                <w:rFonts w:cs="Times New Roman"/>
                <w:sz w:val="20"/>
                <w:szCs w:val="20"/>
              </w:rPr>
            </w:pP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13. </w:t>
            </w:r>
            <w:r w:rsidRPr="006F73CB">
              <w:rPr>
                <w:rFonts w:cs="Times New Roman"/>
                <w:i/>
                <w:sz w:val="20"/>
                <w:szCs w:val="20"/>
              </w:rPr>
              <w:t>Asset growth</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0.070</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0.068</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0.070</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0.076</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0.185</w:t>
            </w:r>
            <w:r>
              <w:rPr>
                <w:rFonts w:eastAsia="Times New Roman" w:cs="Times New Roman"/>
                <w:color w:val="000000"/>
                <w:sz w:val="20"/>
                <w:szCs w:val="20"/>
              </w:rPr>
              <w:t>***</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0.103</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0.077</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14. </w:t>
            </w:r>
            <w:r w:rsidRPr="006F73CB">
              <w:rPr>
                <w:rFonts w:cs="Times New Roman"/>
                <w:i/>
                <w:sz w:val="20"/>
                <w:szCs w:val="20"/>
              </w:rPr>
              <w:t>Capital expenditures</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0.053</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0.051</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0.052</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0.057</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0.079</w:t>
            </w:r>
            <w:r>
              <w:rPr>
                <w:rFonts w:eastAsia="Times New Roman" w:cs="Times New Roman"/>
                <w:color w:val="000000"/>
                <w:sz w:val="20"/>
                <w:szCs w:val="20"/>
              </w:rPr>
              <w:t>***</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0.068</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0.059</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15. </w:t>
            </w:r>
            <w:r w:rsidRPr="006F73CB">
              <w:rPr>
                <w:rFonts w:cs="Times New Roman"/>
                <w:i/>
                <w:sz w:val="20"/>
                <w:szCs w:val="20"/>
              </w:rPr>
              <w:t>Financing deficit</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-0.003</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-0.005</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-0.004</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-0.007</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0.092</w:t>
            </w:r>
            <w:r>
              <w:rPr>
                <w:rFonts w:eastAsia="Times New Roman" w:cs="Times New Roman"/>
                <w:color w:val="000000"/>
                <w:sz w:val="20"/>
                <w:szCs w:val="20"/>
              </w:rPr>
              <w:t>***</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0.020</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0.007</w:t>
            </w:r>
          </w:p>
        </w:tc>
      </w:tr>
      <w:tr w:rsidR="005861E2" w:rsidRPr="00EC05DE" w:rsidTr="005861E2">
        <w:trPr>
          <w:trHeight w:val="288"/>
          <w:jc w:val="center"/>
        </w:trPr>
        <w:tc>
          <w:tcPr>
            <w:tcW w:w="2193" w:type="dxa"/>
            <w:vAlign w:val="center"/>
          </w:tcPr>
          <w:p w:rsidR="005861E2" w:rsidRPr="00EC05DE" w:rsidRDefault="005861E2" w:rsidP="005861E2">
            <w:pPr>
              <w:widowControl w:val="0"/>
              <w:jc w:val="left"/>
              <w:rPr>
                <w:rFonts w:cs="Times New Roman"/>
                <w:sz w:val="20"/>
                <w:szCs w:val="20"/>
              </w:rPr>
            </w:pPr>
            <w:r w:rsidRPr="00EC05DE">
              <w:rPr>
                <w:rFonts w:cs="Times New Roman"/>
                <w:sz w:val="20"/>
                <w:szCs w:val="20"/>
              </w:rPr>
              <w:t xml:space="preserve">16. </w:t>
            </w:r>
            <w:r w:rsidRPr="006F73CB">
              <w:rPr>
                <w:rFonts w:cs="Times New Roman"/>
                <w:i/>
                <w:sz w:val="20"/>
                <w:szCs w:val="20"/>
              </w:rPr>
              <w:t>Change in debt</w:t>
            </w:r>
          </w:p>
        </w:tc>
        <w:tc>
          <w:tcPr>
            <w:tcW w:w="1277"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-0.001</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-0.002</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-0.002</w:t>
            </w:r>
          </w:p>
        </w:tc>
        <w:tc>
          <w:tcPr>
            <w:tcW w:w="1121"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-0.004</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0.089</w:t>
            </w:r>
            <w:r>
              <w:rPr>
                <w:rFonts w:eastAsia="Times New Roman" w:cs="Times New Roman"/>
                <w:color w:val="000000"/>
                <w:sz w:val="20"/>
                <w:szCs w:val="20"/>
              </w:rPr>
              <w:t>***</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0.019</w:t>
            </w:r>
          </w:p>
        </w:tc>
        <w:tc>
          <w:tcPr>
            <w:tcW w:w="1069" w:type="dxa"/>
            <w:vAlign w:val="center"/>
          </w:tcPr>
          <w:p w:rsidR="005861E2" w:rsidRPr="00EC05DE" w:rsidRDefault="005861E2" w:rsidP="005861E2">
            <w:pPr>
              <w:widowControl w:val="0"/>
              <w:jc w:val="left"/>
              <w:rPr>
                <w:rFonts w:cs="Times New Roman"/>
                <w:sz w:val="20"/>
                <w:szCs w:val="20"/>
              </w:rPr>
            </w:pPr>
            <w:r w:rsidRPr="00EC05DE">
              <w:rPr>
                <w:rFonts w:eastAsia="Times New Roman" w:cs="Times New Roman"/>
                <w:color w:val="000000"/>
                <w:sz w:val="20"/>
                <w:szCs w:val="20"/>
              </w:rPr>
              <w:t>0.006</w:t>
            </w:r>
          </w:p>
        </w:tc>
      </w:tr>
    </w:tbl>
    <w:p w:rsidR="005861E2" w:rsidRDefault="005861E2" w:rsidP="005861E2">
      <w:pPr>
        <w:widowControl w:val="0"/>
        <w:rPr>
          <w:sz w:val="20"/>
          <w:szCs w:val="20"/>
        </w:rPr>
      </w:pPr>
    </w:p>
    <w:p w:rsidR="008E39BB" w:rsidRDefault="008E39BB" w:rsidP="008E39BB">
      <w:pPr>
        <w:widowControl w:val="0"/>
        <w:rPr>
          <w:sz w:val="20"/>
          <w:szCs w:val="20"/>
        </w:rPr>
      </w:pPr>
    </w:p>
    <w:p w:rsidR="008E39BB" w:rsidRDefault="008E39BB" w:rsidP="008E39BB">
      <w:pPr>
        <w:widowControl w:val="0"/>
        <w:rPr>
          <w:sz w:val="20"/>
          <w:szCs w:val="20"/>
        </w:rPr>
      </w:pPr>
    </w:p>
    <w:p w:rsidR="008E39BB" w:rsidRDefault="008E39BB" w:rsidP="008E39BB">
      <w:pPr>
        <w:widowControl w:val="0"/>
        <w:rPr>
          <w:sz w:val="20"/>
          <w:szCs w:val="20"/>
        </w:rPr>
        <w:sectPr w:rsidR="008E39BB" w:rsidSect="005861E2">
          <w:pgSz w:w="12240" w:h="15840"/>
          <w:pgMar w:top="1440" w:right="1152" w:bottom="1440" w:left="1296" w:header="720" w:footer="720" w:gutter="0"/>
          <w:cols w:space="720"/>
          <w:docGrid w:linePitch="360"/>
        </w:sectPr>
      </w:pPr>
    </w:p>
    <w:p w:rsidR="008E39BB" w:rsidRDefault="0067344F" w:rsidP="008E39BB">
      <w:pPr>
        <w:widowControl w:val="0"/>
        <w:jc w:val="center"/>
        <w:rPr>
          <w:b/>
          <w:sz w:val="20"/>
          <w:szCs w:val="20"/>
        </w:rPr>
      </w:pPr>
      <w:r>
        <w:rPr>
          <w:b/>
          <w:sz w:val="20"/>
          <w:szCs w:val="20"/>
        </w:rPr>
        <w:lastRenderedPageBreak/>
        <w:t xml:space="preserve">Table </w:t>
      </w:r>
      <w:r w:rsidR="00AA4744">
        <w:rPr>
          <w:b/>
          <w:sz w:val="20"/>
          <w:szCs w:val="20"/>
        </w:rPr>
        <w:t>IA.</w:t>
      </w:r>
      <w:r w:rsidR="00E84F3B">
        <w:rPr>
          <w:b/>
          <w:sz w:val="20"/>
          <w:szCs w:val="20"/>
        </w:rPr>
        <w:t>X</w:t>
      </w:r>
    </w:p>
    <w:p w:rsidR="008E39BB" w:rsidRPr="004D7AB2" w:rsidRDefault="008E39BB" w:rsidP="008E39BB">
      <w:pPr>
        <w:widowControl w:val="0"/>
        <w:jc w:val="center"/>
        <w:rPr>
          <w:b/>
          <w:sz w:val="20"/>
          <w:szCs w:val="20"/>
        </w:rPr>
      </w:pPr>
      <w:r>
        <w:rPr>
          <w:b/>
          <w:sz w:val="20"/>
          <w:szCs w:val="20"/>
        </w:rPr>
        <w:t>Time-</w:t>
      </w:r>
      <w:r w:rsidR="00745B15">
        <w:rPr>
          <w:b/>
          <w:sz w:val="20"/>
          <w:szCs w:val="20"/>
        </w:rPr>
        <w:t xml:space="preserve">Series </w:t>
      </w:r>
      <w:r>
        <w:rPr>
          <w:b/>
          <w:sz w:val="20"/>
          <w:szCs w:val="20"/>
        </w:rPr>
        <w:t xml:space="preserve">Variation in </w:t>
      </w:r>
      <w:r w:rsidRPr="004D7AB2">
        <w:rPr>
          <w:b/>
          <w:sz w:val="20"/>
          <w:szCs w:val="20"/>
        </w:rPr>
        <w:t>Lever</w:t>
      </w:r>
      <w:r>
        <w:rPr>
          <w:b/>
          <w:sz w:val="20"/>
          <w:szCs w:val="20"/>
        </w:rPr>
        <w:t>a</w:t>
      </w:r>
      <w:r w:rsidRPr="004D7AB2">
        <w:rPr>
          <w:b/>
          <w:sz w:val="20"/>
          <w:szCs w:val="20"/>
        </w:rPr>
        <w:t>geof 24 Major Industrial Firms</w:t>
      </w:r>
    </w:p>
    <w:p w:rsidR="008E39BB" w:rsidRDefault="008E39BB" w:rsidP="008E39BB">
      <w:pPr>
        <w:widowControl w:val="0"/>
        <w:rPr>
          <w:sz w:val="20"/>
          <w:szCs w:val="20"/>
        </w:rPr>
      </w:pPr>
    </w:p>
    <w:p w:rsidR="008E39BB" w:rsidRDefault="008E39BB" w:rsidP="008E39BB">
      <w:pPr>
        <w:widowControl w:val="0"/>
        <w:rPr>
          <w:sz w:val="20"/>
          <w:szCs w:val="20"/>
        </w:rPr>
      </w:pPr>
      <w:r>
        <w:rPr>
          <w:sz w:val="20"/>
          <w:szCs w:val="20"/>
        </w:rPr>
        <w:t>The last column gives a capsule summary of case details repor</w:t>
      </w:r>
      <w:r w:rsidR="004C7E2B">
        <w:rPr>
          <w:sz w:val="20"/>
          <w:szCs w:val="20"/>
        </w:rPr>
        <w:t>ted below</w:t>
      </w:r>
      <w:r>
        <w:rPr>
          <w:sz w:val="20"/>
          <w:szCs w:val="20"/>
        </w:rPr>
        <w:t xml:space="preserve">.  The table lists each firm by its most familiar name, with alternative names provided in parentheses for clarity in some cases.  Leverage is measured as the </w:t>
      </w:r>
      <w:r w:rsidRPr="006F73CB">
        <w:rPr>
          <w:i/>
          <w:sz w:val="20"/>
          <w:szCs w:val="20"/>
        </w:rPr>
        <w:t>Debt/Total Assets</w:t>
      </w:r>
      <w:r>
        <w:rPr>
          <w:sz w:val="20"/>
          <w:szCs w:val="20"/>
        </w:rPr>
        <w:t xml:space="preserve"> ratio.</w:t>
      </w:r>
    </w:p>
    <w:p w:rsidR="008E39BB" w:rsidRDefault="008E39BB" w:rsidP="008E39BB">
      <w:pPr>
        <w:widowControl w:val="0"/>
        <w:rPr>
          <w:sz w:val="20"/>
          <w:szCs w:val="20"/>
        </w:rPr>
      </w:pPr>
    </w:p>
    <w:tbl>
      <w:tblPr>
        <w:tblW w:w="12808" w:type="dxa"/>
        <w:jc w:val="center"/>
        <w:tblBorders>
          <w:top w:val="single" w:sz="4" w:space="0" w:color="auto"/>
          <w:bottom w:val="single" w:sz="4" w:space="0" w:color="auto"/>
        </w:tblBorders>
        <w:tblLook w:val="04A0"/>
      </w:tblPr>
      <w:tblGrid>
        <w:gridCol w:w="3312"/>
        <w:gridCol w:w="961"/>
        <w:gridCol w:w="961"/>
        <w:gridCol w:w="961"/>
        <w:gridCol w:w="961"/>
        <w:gridCol w:w="5652"/>
      </w:tblGrid>
      <w:tr w:rsidR="008E39BB" w:rsidRPr="006F73CB" w:rsidTr="00DE2A70">
        <w:trPr>
          <w:trHeight w:val="144"/>
          <w:jc w:val="center"/>
        </w:trPr>
        <w:tc>
          <w:tcPr>
            <w:tcW w:w="3312" w:type="dxa"/>
            <w:tcBorders>
              <w:top w:val="single" w:sz="4" w:space="0" w:color="auto"/>
              <w:bottom w:val="nil"/>
            </w:tcBorders>
            <w:shd w:val="clear" w:color="auto" w:fill="auto"/>
            <w:noWrap/>
            <w:vAlign w:val="center"/>
            <w:hideMark/>
          </w:tcPr>
          <w:p w:rsidR="008E39BB" w:rsidRPr="006F73CB" w:rsidRDefault="008E39BB" w:rsidP="008E39BB">
            <w:pPr>
              <w:widowControl w:val="0"/>
              <w:jc w:val="left"/>
              <w:rPr>
                <w:rFonts w:eastAsia="Times New Roman" w:cs="Times New Roman"/>
                <w:color w:val="000000"/>
                <w:sz w:val="20"/>
                <w:szCs w:val="20"/>
              </w:rPr>
            </w:pPr>
          </w:p>
        </w:tc>
        <w:tc>
          <w:tcPr>
            <w:tcW w:w="961" w:type="dxa"/>
            <w:tcBorders>
              <w:top w:val="single" w:sz="4" w:space="0" w:color="auto"/>
              <w:bottom w:val="nil"/>
            </w:tcBorders>
            <w:shd w:val="clear" w:color="auto" w:fill="auto"/>
            <w:noWrap/>
            <w:vAlign w:val="center"/>
            <w:hideMark/>
          </w:tcPr>
          <w:p w:rsidR="008E39BB" w:rsidRPr="006F73CB" w:rsidRDefault="008E39BB" w:rsidP="008E39BB">
            <w:pPr>
              <w:widowControl w:val="0"/>
              <w:jc w:val="center"/>
              <w:rPr>
                <w:rFonts w:eastAsia="Times New Roman" w:cs="Times New Roman"/>
                <w:color w:val="000000"/>
                <w:sz w:val="20"/>
                <w:szCs w:val="20"/>
              </w:rPr>
            </w:pPr>
          </w:p>
        </w:tc>
        <w:tc>
          <w:tcPr>
            <w:tcW w:w="961" w:type="dxa"/>
            <w:tcBorders>
              <w:top w:val="single" w:sz="4" w:space="0" w:color="auto"/>
              <w:bottom w:val="nil"/>
            </w:tcBorders>
            <w:vAlign w:val="center"/>
          </w:tcPr>
          <w:p w:rsidR="008E39BB" w:rsidRPr="006F73CB" w:rsidRDefault="008E39BB" w:rsidP="008E39BB">
            <w:pPr>
              <w:widowControl w:val="0"/>
              <w:jc w:val="center"/>
              <w:rPr>
                <w:rFonts w:eastAsia="Times New Roman" w:cs="Times New Roman"/>
                <w:color w:val="000000"/>
                <w:sz w:val="20"/>
                <w:szCs w:val="20"/>
              </w:rPr>
            </w:pPr>
          </w:p>
        </w:tc>
        <w:tc>
          <w:tcPr>
            <w:tcW w:w="1922" w:type="dxa"/>
            <w:gridSpan w:val="2"/>
            <w:tcBorders>
              <w:top w:val="single" w:sz="4" w:space="0" w:color="auto"/>
              <w:bottom w:val="single" w:sz="4" w:space="0" w:color="auto"/>
            </w:tcBorders>
            <w:shd w:val="clear" w:color="auto" w:fill="auto"/>
            <w:noWrap/>
            <w:vAlign w:val="center"/>
            <w:hideMark/>
          </w:tcPr>
          <w:p w:rsidR="008E39BB" w:rsidRPr="006F73CB" w:rsidRDefault="008E39BB" w:rsidP="008E39BB">
            <w:pPr>
              <w:widowControl w:val="0"/>
              <w:jc w:val="center"/>
              <w:rPr>
                <w:rFonts w:eastAsia="Times New Roman" w:cs="Times New Roman"/>
                <w:color w:val="000000"/>
                <w:sz w:val="20"/>
                <w:szCs w:val="20"/>
              </w:rPr>
            </w:pPr>
            <w:r w:rsidRPr="006F73CB">
              <w:rPr>
                <w:rFonts w:eastAsia="Times New Roman" w:cs="Times New Roman"/>
                <w:color w:val="000000"/>
                <w:sz w:val="20"/>
                <w:szCs w:val="20"/>
              </w:rPr>
              <w:t>Maximum annual:</w:t>
            </w:r>
          </w:p>
        </w:tc>
        <w:tc>
          <w:tcPr>
            <w:tcW w:w="5652" w:type="dxa"/>
            <w:tcBorders>
              <w:top w:val="single" w:sz="4" w:space="0" w:color="auto"/>
              <w:bottom w:val="nil"/>
            </w:tcBorders>
            <w:shd w:val="clear" w:color="auto" w:fill="auto"/>
            <w:noWrap/>
            <w:vAlign w:val="center"/>
            <w:hideMark/>
          </w:tcPr>
          <w:p w:rsidR="008E39BB" w:rsidRPr="006F73CB" w:rsidRDefault="008E39BB" w:rsidP="008E39BB">
            <w:pPr>
              <w:widowControl w:val="0"/>
              <w:jc w:val="left"/>
              <w:rPr>
                <w:rFonts w:eastAsia="Times New Roman" w:cs="Times New Roman"/>
                <w:color w:val="000000"/>
                <w:sz w:val="20"/>
                <w:szCs w:val="20"/>
              </w:rPr>
            </w:pPr>
          </w:p>
        </w:tc>
      </w:tr>
      <w:tr w:rsidR="008E39BB" w:rsidRPr="006F73CB" w:rsidTr="00DE2A70">
        <w:trPr>
          <w:trHeight w:val="144"/>
          <w:jc w:val="center"/>
        </w:trPr>
        <w:tc>
          <w:tcPr>
            <w:tcW w:w="3312" w:type="dxa"/>
            <w:tcBorders>
              <w:top w:val="nil"/>
              <w:bottom w:val="single" w:sz="4" w:space="0" w:color="auto"/>
            </w:tcBorders>
            <w:shd w:val="clear" w:color="auto" w:fill="auto"/>
            <w:noWrap/>
            <w:vAlign w:val="center"/>
            <w:hideMark/>
          </w:tcPr>
          <w:p w:rsidR="008E39BB" w:rsidRPr="006F73CB" w:rsidRDefault="008E39BB" w:rsidP="008E39BB">
            <w:pPr>
              <w:widowControl w:val="0"/>
              <w:jc w:val="left"/>
              <w:rPr>
                <w:rFonts w:eastAsia="Times New Roman" w:cs="Times New Roman"/>
                <w:color w:val="000000"/>
                <w:sz w:val="20"/>
                <w:szCs w:val="20"/>
              </w:rPr>
            </w:pPr>
          </w:p>
        </w:tc>
        <w:tc>
          <w:tcPr>
            <w:tcW w:w="961" w:type="dxa"/>
            <w:tcBorders>
              <w:top w:val="nil"/>
              <w:bottom w:val="single" w:sz="4" w:space="0" w:color="auto"/>
            </w:tcBorders>
            <w:shd w:val="clear" w:color="auto" w:fill="auto"/>
            <w:noWrap/>
            <w:vAlign w:val="bottom"/>
            <w:hideMark/>
          </w:tcPr>
          <w:p w:rsidR="008E39BB" w:rsidRPr="006F73CB" w:rsidRDefault="008E39BB" w:rsidP="008E39BB">
            <w:pPr>
              <w:widowControl w:val="0"/>
              <w:jc w:val="center"/>
              <w:rPr>
                <w:rFonts w:eastAsia="Times New Roman" w:cs="Times New Roman"/>
                <w:bCs/>
                <w:i/>
                <w:color w:val="000000"/>
                <w:sz w:val="20"/>
                <w:szCs w:val="20"/>
              </w:rPr>
            </w:pPr>
            <w:r w:rsidRPr="006F73CB">
              <w:rPr>
                <w:rFonts w:eastAsia="Times New Roman" w:cs="Times New Roman"/>
                <w:bCs/>
                <w:i/>
                <w:color w:val="000000"/>
                <w:sz w:val="20"/>
                <w:szCs w:val="20"/>
              </w:rPr>
              <w:t>Debt/TA</w:t>
            </w:r>
          </w:p>
          <w:p w:rsidR="008E39BB" w:rsidRPr="006F73CB" w:rsidRDefault="008E39BB" w:rsidP="008E39BB">
            <w:pPr>
              <w:widowControl w:val="0"/>
              <w:jc w:val="center"/>
              <w:rPr>
                <w:rFonts w:eastAsia="Times New Roman" w:cs="Times New Roman"/>
                <w:bCs/>
                <w:color w:val="000000"/>
                <w:sz w:val="20"/>
                <w:szCs w:val="20"/>
              </w:rPr>
            </w:pPr>
            <w:r w:rsidRPr="006F73CB">
              <w:rPr>
                <w:rFonts w:eastAsia="Times New Roman" w:cs="Times New Roman"/>
                <w:bCs/>
                <w:color w:val="000000"/>
                <w:sz w:val="20"/>
                <w:szCs w:val="20"/>
              </w:rPr>
              <w:t>range</w:t>
            </w:r>
          </w:p>
        </w:tc>
        <w:tc>
          <w:tcPr>
            <w:tcW w:w="961" w:type="dxa"/>
            <w:tcBorders>
              <w:top w:val="nil"/>
              <w:bottom w:val="single" w:sz="4" w:space="0" w:color="auto"/>
            </w:tcBorders>
            <w:vAlign w:val="bottom"/>
          </w:tcPr>
          <w:p w:rsidR="008E39BB" w:rsidRPr="006F73CB" w:rsidRDefault="008E39BB" w:rsidP="008E39BB">
            <w:pPr>
              <w:widowControl w:val="0"/>
              <w:jc w:val="center"/>
              <w:rPr>
                <w:rFonts w:eastAsia="Times New Roman" w:cs="Times New Roman"/>
                <w:bCs/>
                <w:color w:val="000000"/>
                <w:sz w:val="20"/>
                <w:szCs w:val="20"/>
              </w:rPr>
            </w:pPr>
            <w:r w:rsidRPr="006F73CB">
              <w:rPr>
                <w:rFonts w:eastAsia="Times New Roman" w:cs="Times New Roman"/>
                <w:bCs/>
                <w:color w:val="000000"/>
                <w:sz w:val="20"/>
                <w:szCs w:val="20"/>
              </w:rPr>
              <w:t>Min</w:t>
            </w:r>
          </w:p>
          <w:p w:rsidR="008E39BB" w:rsidRPr="006F73CB" w:rsidRDefault="008E39BB" w:rsidP="008E39BB">
            <w:pPr>
              <w:widowControl w:val="0"/>
              <w:jc w:val="center"/>
              <w:rPr>
                <w:rFonts w:eastAsia="Times New Roman" w:cs="Times New Roman"/>
                <w:bCs/>
                <w:i/>
                <w:color w:val="000000"/>
                <w:sz w:val="20"/>
                <w:szCs w:val="20"/>
              </w:rPr>
            </w:pPr>
            <w:r w:rsidRPr="006F73CB">
              <w:rPr>
                <w:rFonts w:eastAsia="Times New Roman" w:cs="Times New Roman"/>
                <w:bCs/>
                <w:i/>
                <w:color w:val="000000"/>
                <w:sz w:val="20"/>
                <w:szCs w:val="20"/>
              </w:rPr>
              <w:t>Debt/TA</w:t>
            </w:r>
          </w:p>
        </w:tc>
        <w:tc>
          <w:tcPr>
            <w:tcW w:w="961" w:type="dxa"/>
            <w:tcBorders>
              <w:top w:val="single" w:sz="4" w:space="0" w:color="auto"/>
              <w:bottom w:val="single" w:sz="4" w:space="0" w:color="auto"/>
            </w:tcBorders>
            <w:shd w:val="clear" w:color="auto" w:fill="auto"/>
            <w:noWrap/>
            <w:vAlign w:val="center"/>
            <w:hideMark/>
          </w:tcPr>
          <w:p w:rsidR="008E39BB" w:rsidRPr="006F73CB" w:rsidRDefault="008E39BB" w:rsidP="008E39BB">
            <w:pPr>
              <w:widowControl w:val="0"/>
              <w:jc w:val="center"/>
              <w:rPr>
                <w:rFonts w:eastAsia="Times New Roman" w:cs="Times New Roman"/>
                <w:color w:val="000000"/>
                <w:sz w:val="20"/>
                <w:szCs w:val="20"/>
              </w:rPr>
            </w:pPr>
            <w:r w:rsidRPr="006F73CB">
              <w:rPr>
                <w:rFonts w:eastAsia="Times New Roman" w:cs="Times New Roman"/>
                <w:i/>
                <w:color w:val="000000"/>
                <w:sz w:val="20"/>
                <w:szCs w:val="20"/>
              </w:rPr>
              <w:t>Debt/TA</w:t>
            </w:r>
            <w:r w:rsidRPr="006F73CB">
              <w:rPr>
                <w:rFonts w:eastAsia="Times New Roman" w:cs="Times New Roman"/>
                <w:color w:val="000000"/>
                <w:sz w:val="20"/>
                <w:szCs w:val="20"/>
              </w:rPr>
              <w:t xml:space="preserve"> increase</w:t>
            </w:r>
          </w:p>
        </w:tc>
        <w:tc>
          <w:tcPr>
            <w:tcW w:w="961" w:type="dxa"/>
            <w:tcBorders>
              <w:top w:val="single" w:sz="4" w:space="0" w:color="auto"/>
              <w:bottom w:val="single" w:sz="4" w:space="0" w:color="auto"/>
            </w:tcBorders>
            <w:shd w:val="clear" w:color="auto" w:fill="auto"/>
            <w:noWrap/>
            <w:vAlign w:val="center"/>
            <w:hideMark/>
          </w:tcPr>
          <w:p w:rsidR="008E39BB" w:rsidRPr="006F73CB" w:rsidRDefault="008E39BB" w:rsidP="008E39BB">
            <w:pPr>
              <w:widowControl w:val="0"/>
              <w:jc w:val="center"/>
              <w:rPr>
                <w:rFonts w:eastAsia="Times New Roman" w:cs="Times New Roman"/>
                <w:color w:val="000000"/>
                <w:sz w:val="20"/>
                <w:szCs w:val="20"/>
              </w:rPr>
            </w:pPr>
            <w:r w:rsidRPr="006F73CB">
              <w:rPr>
                <w:rFonts w:eastAsia="Times New Roman" w:cs="Times New Roman"/>
                <w:i/>
                <w:color w:val="000000"/>
                <w:sz w:val="20"/>
                <w:szCs w:val="20"/>
              </w:rPr>
              <w:t>Debt/TA</w:t>
            </w:r>
            <w:r w:rsidRPr="006F73CB">
              <w:rPr>
                <w:rFonts w:eastAsia="Times New Roman" w:cs="Times New Roman"/>
                <w:color w:val="000000"/>
                <w:sz w:val="20"/>
                <w:szCs w:val="20"/>
              </w:rPr>
              <w:t xml:space="preserve"> decrease</w:t>
            </w:r>
          </w:p>
        </w:tc>
        <w:tc>
          <w:tcPr>
            <w:tcW w:w="5652" w:type="dxa"/>
            <w:tcBorders>
              <w:top w:val="nil"/>
              <w:bottom w:val="single" w:sz="4" w:space="0" w:color="auto"/>
            </w:tcBorders>
            <w:shd w:val="clear" w:color="auto" w:fill="auto"/>
            <w:noWrap/>
            <w:vAlign w:val="bottom"/>
            <w:hideMark/>
          </w:tcPr>
          <w:p w:rsidR="008E39BB" w:rsidRPr="006F73CB" w:rsidRDefault="008E39BB" w:rsidP="008E39BB">
            <w:pPr>
              <w:widowControl w:val="0"/>
              <w:jc w:val="center"/>
              <w:rPr>
                <w:rFonts w:eastAsia="Times New Roman" w:cs="Times New Roman"/>
                <w:color w:val="000000"/>
                <w:sz w:val="20"/>
                <w:szCs w:val="20"/>
              </w:rPr>
            </w:pPr>
            <w:r w:rsidRPr="006F73CB">
              <w:rPr>
                <w:rFonts w:eastAsia="Times New Roman" w:cs="Times New Roman"/>
                <w:bCs/>
                <w:color w:val="000000"/>
                <w:sz w:val="20"/>
                <w:szCs w:val="20"/>
              </w:rPr>
              <w:t>Capsule summary of notable case features</w:t>
            </w:r>
          </w:p>
        </w:tc>
      </w:tr>
      <w:tr w:rsidR="008E39BB" w:rsidRPr="004D7AB2" w:rsidTr="00DE2A70">
        <w:trPr>
          <w:trHeight w:val="288"/>
          <w:jc w:val="center"/>
        </w:trPr>
        <w:tc>
          <w:tcPr>
            <w:tcW w:w="3312" w:type="dxa"/>
            <w:tcBorders>
              <w:top w:val="single" w:sz="4" w:space="0" w:color="auto"/>
            </w:tcBorders>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General Electric</w:t>
            </w:r>
          </w:p>
        </w:tc>
        <w:tc>
          <w:tcPr>
            <w:tcW w:w="961" w:type="dxa"/>
            <w:tcBorders>
              <w:top w:val="single" w:sz="4" w:space="0" w:color="auto"/>
              <w:bottom w:val="nil"/>
            </w:tcBorders>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0.670</w:t>
            </w:r>
          </w:p>
        </w:tc>
        <w:tc>
          <w:tcPr>
            <w:tcW w:w="961" w:type="dxa"/>
            <w:tcBorders>
              <w:top w:val="single" w:sz="4" w:space="0" w:color="auto"/>
              <w:bottom w:val="nil"/>
            </w:tcBorders>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tcBorders>
              <w:top w:val="single" w:sz="4" w:space="0" w:color="auto"/>
              <w:bottom w:val="nil"/>
            </w:tcBorders>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0.255</w:t>
            </w:r>
          </w:p>
        </w:tc>
        <w:tc>
          <w:tcPr>
            <w:tcW w:w="961" w:type="dxa"/>
            <w:tcBorders>
              <w:top w:val="single" w:sz="4" w:space="0" w:color="auto"/>
              <w:bottom w:val="nil"/>
            </w:tcBorders>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-0.159</w:t>
            </w:r>
          </w:p>
        </w:tc>
        <w:tc>
          <w:tcPr>
            <w:tcW w:w="5652" w:type="dxa"/>
            <w:tcBorders>
              <w:top w:val="single" w:sz="4" w:space="0" w:color="auto"/>
              <w:bottom w:val="nil"/>
            </w:tcBorders>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 xml:space="preserve">Fund post-WW II expansion </w:t>
            </w:r>
          </w:p>
        </w:tc>
      </w:tr>
      <w:tr w:rsidR="008E39BB" w:rsidRPr="004D7AB2" w:rsidTr="008E39BB">
        <w:trPr>
          <w:trHeight w:val="288"/>
          <w:jc w:val="center"/>
        </w:trPr>
        <w:tc>
          <w:tcPr>
            <w:tcW w:w="3312" w:type="dxa"/>
            <w:tcBorders>
              <w:top w:val="nil"/>
            </w:tcBorders>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General Motors</w:t>
            </w:r>
          </w:p>
        </w:tc>
        <w:tc>
          <w:tcPr>
            <w:tcW w:w="961" w:type="dxa"/>
            <w:tcBorders>
              <w:top w:val="nil"/>
            </w:tcBorders>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0.634</w:t>
            </w:r>
          </w:p>
        </w:tc>
        <w:tc>
          <w:tcPr>
            <w:tcW w:w="961" w:type="dxa"/>
            <w:tcBorders>
              <w:top w:val="nil"/>
            </w:tcBorders>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tcBorders>
              <w:top w:val="nil"/>
            </w:tcBorders>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0.213</w:t>
            </w:r>
          </w:p>
        </w:tc>
        <w:tc>
          <w:tcPr>
            <w:tcW w:w="961" w:type="dxa"/>
            <w:tcBorders>
              <w:top w:val="nil"/>
            </w:tcBorders>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-0.345</w:t>
            </w:r>
          </w:p>
        </w:tc>
        <w:tc>
          <w:tcPr>
            <w:tcW w:w="5652" w:type="dxa"/>
            <w:tcBorders>
              <w:top w:val="nil"/>
            </w:tcBorders>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post-WW II expansion while paying substantial dividends</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IBM</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0.396</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0.022</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0.080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-0.093</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post-WWII expansion; mostly passive deleveraging</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Procter &amp; Gamble</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0.395</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0.115</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-0.117</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post-WW II expansion; passive deleveraging</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Allied Chemical</w:t>
            </w:r>
            <w:r>
              <w:rPr>
                <w:rFonts w:eastAsia="Times New Roman" w:cs="Times New Roman"/>
                <w:color w:val="000000"/>
                <w:sz w:val="20"/>
                <w:szCs w:val="20"/>
              </w:rPr>
              <w:t xml:space="preserve"> (Honeywell</w:t>
            </w:r>
            <w:r w:rsidRPr="004D7AB2">
              <w:rPr>
                <w:rFonts w:eastAsia="Times New Roman" w:cs="Times New Roman"/>
                <w:color w:val="000000"/>
                <w:sz w:val="20"/>
                <w:szCs w:val="20"/>
              </w:rPr>
              <w:t>)</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0.356</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0.251</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-0.081</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post-WW II expansion; then passive deleveraging</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Union Carbide</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0.464</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0.231</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-0.092</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post-WW II expansion; then passive deleveraging</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Sears Roebuck</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0.608</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0.347</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-0.312</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post-WW II expansion of installment-sales business</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International Harvester (Navistar)</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0.751</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0.215</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-0.183</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post-WW II extension of credit to customers and dealers</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Caterpillar</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0.547</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0.196</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-0.154</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post-WW II plant expansion</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 xml:space="preserve">B.F. </w:t>
            </w:r>
            <w:r w:rsidRPr="004D7AB2">
              <w:rPr>
                <w:rFonts w:eastAsia="Times New Roman" w:cs="Times New Roman"/>
                <w:color w:val="000000"/>
                <w:sz w:val="20"/>
                <w:szCs w:val="20"/>
              </w:rPr>
              <w:t>Good</w:t>
            </w:r>
            <w:r>
              <w:rPr>
                <w:rFonts w:eastAsia="Times New Roman" w:cs="Times New Roman"/>
                <w:color w:val="000000"/>
                <w:sz w:val="20"/>
                <w:szCs w:val="20"/>
              </w:rPr>
              <w:t>rich</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0.442</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0.292</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-0.108</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expansion in 1960s; then mostly passive deleveraging</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Good</w:t>
            </w:r>
            <w:r>
              <w:rPr>
                <w:rFonts w:eastAsia="Times New Roman" w:cs="Times New Roman"/>
                <w:color w:val="000000"/>
                <w:sz w:val="20"/>
                <w:szCs w:val="20"/>
              </w:rPr>
              <w:t>year Tire &amp; Rubber</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0.431</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0.203</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-0.203</w:t>
            </w:r>
          </w:p>
        </w:tc>
        <w:tc>
          <w:tcPr>
            <w:tcW w:w="5652" w:type="dxa"/>
            <w:shd w:val="clear" w:color="auto" w:fill="auto"/>
            <w:noWrap/>
            <w:vAlign w:val="center"/>
            <w:hideMark/>
          </w:tcPr>
          <w:p w:rsidR="008E39BB" w:rsidRPr="004D7AB2" w:rsidRDefault="008E39BB" w:rsidP="008E39BB">
            <w:pPr>
              <w:widowControl w:val="0"/>
              <w:rPr>
                <w:rFonts w:eastAsia="Times New Roman" w:cs="Times New Roman"/>
                <w:color w:val="000000"/>
                <w:sz w:val="20"/>
                <w:szCs w:val="20"/>
              </w:rPr>
            </w:pPr>
            <w:r w:rsidRPr="00494057">
              <w:rPr>
                <w:sz w:val="20"/>
                <w:szCs w:val="20"/>
              </w:rPr>
              <w:t xml:space="preserve">Transitory borrowing to </w:t>
            </w:r>
            <w:r>
              <w:rPr>
                <w:sz w:val="20"/>
                <w:szCs w:val="20"/>
              </w:rPr>
              <w:t>buy back</w:t>
            </w:r>
            <w:r w:rsidRPr="00494057">
              <w:rPr>
                <w:sz w:val="20"/>
                <w:szCs w:val="20"/>
              </w:rPr>
              <w:t xml:space="preserve"> stock</w:t>
            </w:r>
            <w:r>
              <w:rPr>
                <w:sz w:val="20"/>
                <w:szCs w:val="20"/>
              </w:rPr>
              <w:t xml:space="preserve"> and </w:t>
            </w:r>
            <w:r w:rsidRPr="00494057">
              <w:rPr>
                <w:sz w:val="20"/>
                <w:szCs w:val="20"/>
              </w:rPr>
              <w:t xml:space="preserve">deter </w:t>
            </w:r>
            <w:r>
              <w:rPr>
                <w:sz w:val="20"/>
                <w:szCs w:val="20"/>
              </w:rPr>
              <w:t xml:space="preserve">a </w:t>
            </w:r>
            <w:r w:rsidRPr="00494057">
              <w:rPr>
                <w:sz w:val="20"/>
                <w:szCs w:val="20"/>
              </w:rPr>
              <w:t>hostile takeover</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Altria (Philip Morris)</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0.502</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0.271</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-0.212</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expansion during WWII</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American Tobacco (Fortune Brands)</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0.480</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0.003</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0.199</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-0.157</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diversifying acquisitions in 1960s</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Eastman Kodak</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0.433</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0.205</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-0.301</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diversifying acquisitions in 1980s</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DuPont</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0.317</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0.138</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-0.094</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1980s acquisition of Conoco</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ChevronTe</w:t>
            </w:r>
            <w:r>
              <w:rPr>
                <w:rFonts w:eastAsia="Times New Roman" w:cs="Times New Roman"/>
                <w:color w:val="000000"/>
                <w:sz w:val="20"/>
                <w:szCs w:val="20"/>
              </w:rPr>
              <w:t>xaco (Standard Oil of CA</w:t>
            </w:r>
            <w:r w:rsidRPr="004D7AB2">
              <w:rPr>
                <w:rFonts w:eastAsia="Times New Roman" w:cs="Times New Roman"/>
                <w:color w:val="000000"/>
                <w:sz w:val="20"/>
                <w:szCs w:val="20"/>
              </w:rPr>
              <w:t>)</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0.375</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0.292</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-0.134</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1980s acquisition of Gulf Oil</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Texaco</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0.320</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0.207</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-0.094</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1980s acquisition of Getty Oil</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Exxon M</w:t>
            </w:r>
            <w:r>
              <w:rPr>
                <w:rFonts w:eastAsia="Times New Roman" w:cs="Times New Roman"/>
                <w:color w:val="000000"/>
                <w:sz w:val="20"/>
                <w:szCs w:val="20"/>
              </w:rPr>
              <w:t>obil (Standard Oil of NJ</w:t>
            </w:r>
            <w:r w:rsidRPr="004D7AB2">
              <w:rPr>
                <w:rFonts w:eastAsia="Times New Roman" w:cs="Times New Roman"/>
                <w:color w:val="000000"/>
                <w:sz w:val="20"/>
                <w:szCs w:val="20"/>
              </w:rPr>
              <w:t>)</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0.197</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0.078</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-0.045</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Keep debt conservative while funding growth opportunities</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AT&amp;T</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0.375</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0.113</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0.126</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-0.131</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Fund post-WW II expansion with equity to build flexibility</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U.S. Steel</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0.469</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0.018</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0.196</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-0.138</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Presciently timed deleveraging prior to Great Depression</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Bethlehem Steel</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0.400</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0.055</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0.172</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-0.137</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“Follow the leader” deleveraging prior to Great Depression</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International Paper</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0.532</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0.203</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-0.186</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Distress-induced deleveraging, then levering up to fund investment</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Woolworth (Foot Locker)</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0.318</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0.002</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0.091</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-0.081</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Proactive deleveraging after levering up amid financial trouble</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sidRPr="004D7AB2">
              <w:rPr>
                <w:rFonts w:eastAsia="Times New Roman" w:cs="Times New Roman"/>
                <w:color w:val="000000"/>
                <w:sz w:val="20"/>
                <w:szCs w:val="20"/>
              </w:rPr>
              <w:t>Coca-Cola</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0.323</w:t>
            </w:r>
          </w:p>
        </w:tc>
        <w:tc>
          <w:tcPr>
            <w:tcW w:w="961" w:type="dxa"/>
            <w:vAlign w:val="center"/>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0.116</w:t>
            </w:r>
          </w:p>
        </w:tc>
        <w:tc>
          <w:tcPr>
            <w:tcW w:w="961" w:type="dxa"/>
            <w:shd w:val="clear" w:color="auto" w:fill="auto"/>
            <w:noWrap/>
            <w:vAlign w:val="center"/>
            <w:hideMark/>
          </w:tcPr>
          <w:p w:rsidR="008E39BB" w:rsidRPr="004D7AB2"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-0.094</w:t>
            </w:r>
          </w:p>
        </w:tc>
        <w:tc>
          <w:tcPr>
            <w:tcW w:w="565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CEO with aggressive approach to debt (including for mergers)</w:t>
            </w:r>
          </w:p>
        </w:tc>
      </w:tr>
      <w:tr w:rsidR="008E39BB" w:rsidRPr="004D7AB2" w:rsidTr="008E39BB">
        <w:trPr>
          <w:trHeight w:val="288"/>
          <w:jc w:val="center"/>
        </w:trPr>
        <w:tc>
          <w:tcPr>
            <w:tcW w:w="3312" w:type="dxa"/>
            <w:shd w:val="clear" w:color="auto" w:fill="auto"/>
            <w:noWrap/>
            <w:vAlign w:val="center"/>
            <w:hideMark/>
          </w:tcPr>
          <w:p w:rsidR="008E39BB" w:rsidRPr="004D7AB2" w:rsidRDefault="008E39BB" w:rsidP="008E39BB">
            <w:pPr>
              <w:widowControl w:val="0"/>
              <w:jc w:val="left"/>
              <w:rPr>
                <w:rFonts w:eastAsia="Times New Roman" w:cs="Times New Roman"/>
                <w:color w:val="000000"/>
                <w:sz w:val="20"/>
                <w:szCs w:val="20"/>
              </w:rPr>
            </w:pPr>
            <w:r>
              <w:rPr>
                <w:rFonts w:eastAsia="Times New Roman" w:cs="Times New Roman"/>
                <w:color w:val="000000"/>
                <w:sz w:val="20"/>
                <w:szCs w:val="20"/>
              </w:rPr>
              <w:t>Median across 24 firms</w:t>
            </w:r>
          </w:p>
        </w:tc>
        <w:tc>
          <w:tcPr>
            <w:tcW w:w="961" w:type="dxa"/>
            <w:shd w:val="clear" w:color="auto" w:fill="auto"/>
            <w:noWrap/>
            <w:vAlign w:val="center"/>
            <w:hideMark/>
          </w:tcPr>
          <w:p w:rsidR="008E39BB"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0.432</w:t>
            </w:r>
          </w:p>
        </w:tc>
        <w:tc>
          <w:tcPr>
            <w:tcW w:w="961" w:type="dxa"/>
            <w:vAlign w:val="center"/>
          </w:tcPr>
          <w:p w:rsidR="008E39BB"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0.000</w:t>
            </w:r>
          </w:p>
        </w:tc>
        <w:tc>
          <w:tcPr>
            <w:tcW w:w="961" w:type="dxa"/>
            <w:shd w:val="clear" w:color="auto" w:fill="auto"/>
            <w:noWrap/>
            <w:vAlign w:val="center"/>
            <w:hideMark/>
          </w:tcPr>
          <w:p w:rsidR="008E39BB"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0.203</w:t>
            </w:r>
          </w:p>
        </w:tc>
        <w:tc>
          <w:tcPr>
            <w:tcW w:w="961" w:type="dxa"/>
            <w:shd w:val="clear" w:color="auto" w:fill="auto"/>
            <w:noWrap/>
            <w:vAlign w:val="center"/>
            <w:hideMark/>
          </w:tcPr>
          <w:p w:rsidR="008E39BB" w:rsidRDefault="008E39BB" w:rsidP="008E39BB">
            <w:pPr>
              <w:widowControl w:val="0"/>
              <w:jc w:val="center"/>
              <w:rPr>
                <w:rFonts w:eastAsia="Times New Roman" w:cs="Times New Roman"/>
                <w:color w:val="000000"/>
                <w:sz w:val="20"/>
                <w:szCs w:val="20"/>
              </w:rPr>
            </w:pPr>
            <w:r>
              <w:rPr>
                <w:rFonts w:eastAsia="Times New Roman" w:cs="Times New Roman"/>
                <w:color w:val="000000"/>
                <w:sz w:val="20"/>
                <w:szCs w:val="20"/>
              </w:rPr>
              <w:t>-0.136</w:t>
            </w:r>
          </w:p>
        </w:tc>
        <w:tc>
          <w:tcPr>
            <w:tcW w:w="5652" w:type="dxa"/>
            <w:shd w:val="clear" w:color="auto" w:fill="auto"/>
            <w:noWrap/>
            <w:vAlign w:val="center"/>
            <w:hideMark/>
          </w:tcPr>
          <w:p w:rsidR="008E39BB" w:rsidRDefault="008E39BB" w:rsidP="008E39BB">
            <w:pPr>
              <w:widowControl w:val="0"/>
              <w:jc w:val="left"/>
              <w:rPr>
                <w:rFonts w:eastAsia="Times New Roman" w:cs="Times New Roman"/>
                <w:color w:val="000000"/>
                <w:sz w:val="20"/>
                <w:szCs w:val="20"/>
              </w:rPr>
            </w:pPr>
          </w:p>
        </w:tc>
      </w:tr>
    </w:tbl>
    <w:p w:rsidR="005861E2" w:rsidRDefault="005861E2" w:rsidP="00AA55BF">
      <w:pPr>
        <w:widowControl w:val="0"/>
        <w:rPr>
          <w:sz w:val="20"/>
          <w:szCs w:val="20"/>
        </w:rPr>
      </w:pPr>
    </w:p>
    <w:p w:rsidR="00A50F7D" w:rsidRDefault="00A50F7D" w:rsidP="00AA55BF">
      <w:pPr>
        <w:widowControl w:val="0"/>
        <w:rPr>
          <w:sz w:val="20"/>
          <w:szCs w:val="20"/>
        </w:rPr>
        <w:sectPr w:rsidR="00A50F7D" w:rsidSect="009137B9">
          <w:footerReference w:type="default" r:id="rId14"/>
          <w:footerReference w:type="first" r:id="rId15"/>
          <w:pgSz w:w="15840" w:h="12240" w:orient="landscape"/>
          <w:pgMar w:top="1296" w:right="1440" w:bottom="1152" w:left="1440" w:header="720" w:footer="720" w:gutter="0"/>
          <w:cols w:space="720"/>
          <w:docGrid w:linePitch="360"/>
        </w:sectPr>
      </w:pPr>
    </w:p>
    <w:p w:rsidR="005861E2" w:rsidRPr="00DF5438" w:rsidRDefault="005861E2" w:rsidP="005861E2">
      <w:pPr>
        <w:widowControl w:val="0"/>
        <w:jc w:val="center"/>
        <w:rPr>
          <w:b/>
        </w:rPr>
      </w:pPr>
      <w:r>
        <w:rPr>
          <w:b/>
        </w:rPr>
        <w:lastRenderedPageBreak/>
        <w:t xml:space="preserve">Case Studies: Leverage Decisions of 24 Major </w:t>
      </w:r>
      <w:r w:rsidRPr="00DF5438">
        <w:rPr>
          <w:b/>
        </w:rPr>
        <w:t>Industrial Firms</w:t>
      </w:r>
    </w:p>
    <w:p w:rsidR="005861E2" w:rsidRPr="00DF5438" w:rsidRDefault="005861E2" w:rsidP="005861E2">
      <w:pPr>
        <w:widowControl w:val="0"/>
        <w:jc w:val="center"/>
        <w:rPr>
          <w:b/>
        </w:rPr>
      </w:pPr>
    </w:p>
    <w:p w:rsidR="005861E2" w:rsidRDefault="005861E2" w:rsidP="005861E2">
      <w:pPr>
        <w:widowControl w:val="0"/>
      </w:pPr>
      <w:r w:rsidRPr="00DF5438">
        <w:t xml:space="preserve">This </w:t>
      </w:r>
      <w:r w:rsidR="00253499">
        <w:t xml:space="preserve">section of the </w:t>
      </w:r>
      <w:r w:rsidRPr="00DF5438">
        <w:t>appendix</w:t>
      </w:r>
      <w:r>
        <w:t xml:space="preserve"> contains plots of the leverage ratios from the early part of the 20</w:t>
      </w:r>
      <w:r w:rsidRPr="00C06319">
        <w:rPr>
          <w:vertAlign w:val="superscript"/>
        </w:rPr>
        <w:t>th</w:t>
      </w:r>
      <w:r>
        <w:t xml:space="preserve"> century to the present day of 24 major</w:t>
      </w:r>
      <w:r w:rsidRPr="00DF5438">
        <w:t xml:space="preserve"> industrial firms</w:t>
      </w:r>
      <w:r>
        <w:t>, and provides a compact discussion of a selected significant feature of each firm’s leverage history</w:t>
      </w:r>
      <w:r w:rsidRPr="00DF5438">
        <w:t xml:space="preserve">.  </w:t>
      </w:r>
      <w:r>
        <w:t>The cases are listed in the or</w:t>
      </w:r>
      <w:r w:rsidR="003E2C81">
        <w:t>d</w:t>
      </w:r>
      <w:r w:rsidR="00540905">
        <w:t xml:space="preserve">er that they appear in Table </w:t>
      </w:r>
      <w:r w:rsidR="00AA4744">
        <w:t>IA.</w:t>
      </w:r>
      <w:r w:rsidR="00540905">
        <w:t>X</w:t>
      </w:r>
      <w:r w:rsidR="003E2C81">
        <w:t xml:space="preserve"> in this appendix</w:t>
      </w:r>
      <w:r>
        <w:t>, which groups similar cases near each other.  The date of the first (and sometimes the last) observation differs across companies, and so one must be careful in scanning across firms to be sure that one is comparing leverage in the same year.  Since leverage ranges vary substantially, the scale of the vertical axis also differs across firms.</w:t>
      </w:r>
    </w:p>
    <w:p w:rsidR="005861E2" w:rsidRDefault="005861E2" w:rsidP="005861E2">
      <w:pPr>
        <w:widowControl w:val="0"/>
      </w:pPr>
    </w:p>
    <w:p w:rsidR="005861E2" w:rsidRDefault="005861E2" w:rsidP="005861E2">
      <w:r w:rsidRPr="00DF5438">
        <w:t xml:space="preserve">All 24 firms are members of our </w:t>
      </w:r>
      <w:r w:rsidR="009D2579">
        <w:t>constant-comp</w:t>
      </w:r>
      <w:r w:rsidRPr="00DF5438">
        <w:t xml:space="preserve">osition sample, which means they are included on Compustat from 1950 to 2000.  All 24 also (i) were publicly held prior to the Great Depression, (ii) issued annual reports back to at least 1926 </w:t>
      </w:r>
      <w:r>
        <w:t xml:space="preserve">with clearly delineated financial debt amounts, and (iii) were included in </w:t>
      </w:r>
      <w:r w:rsidRPr="00DF5438">
        <w:t xml:space="preserve">the Dow Jones Industrial Average </w:t>
      </w:r>
      <w:r>
        <w:t>(DJIA) at some point</w:t>
      </w:r>
      <w:r w:rsidRPr="00DF5438">
        <w:t xml:space="preserve">.  For each firm, we track leverage back to 1900 if possible, but more generally as far back as annual report disclosures clearly separate </w:t>
      </w:r>
      <w:r>
        <w:t xml:space="preserve">financial </w:t>
      </w:r>
      <w:r w:rsidRPr="00DF5438">
        <w:t>debt from other liabilities</w:t>
      </w:r>
      <w:r>
        <w:t xml:space="preserve"> (e.g., notes payable versus accounts payable)</w:t>
      </w:r>
      <w:r w:rsidRPr="00DF5438">
        <w:t xml:space="preserve">.  In cases in which firms had major financial subsidiaries whose </w:t>
      </w:r>
      <w:r>
        <w:t>debt obligations</w:t>
      </w:r>
      <w:r w:rsidRPr="00DF5438">
        <w:t xml:space="preserve"> in some years were not consolidated</w:t>
      </w:r>
      <w:r>
        <w:t xml:space="preserve"> with the parent, we obtain whatever financial </w:t>
      </w:r>
      <w:r w:rsidRPr="00DF5438">
        <w:t xml:space="preserve">data for the subsidiaries </w:t>
      </w:r>
      <w:r>
        <w:t xml:space="preserve">are provided in company disclosures, </w:t>
      </w:r>
      <w:r w:rsidRPr="00DF5438">
        <w:t>and</w:t>
      </w:r>
      <w:r>
        <w:t xml:space="preserve"> report estimated leverage ratios based on our construction of the relevant </w:t>
      </w:r>
      <w:r w:rsidRPr="00DF5438">
        <w:t>consolidated balance sheet</w:t>
      </w:r>
      <w:r>
        <w:t>s</w:t>
      </w:r>
      <w:r w:rsidRPr="00DF5438">
        <w:t xml:space="preserve">.  </w:t>
      </w:r>
      <w:r>
        <w:t xml:space="preserve">The latter firms are AT&amp;T, Caterpillar, General Electric, General Motors, Goodrich, Goodyear, IBM, Kodak, International Harvester (Navistar), Altria (Philip Morris), Sears Roebuck, Texaco, and Union Carbide.  Two firms have financial subsidiaries whose operations are too small to merit disclosure (Coca-Cola) or the information that is disclosed is insufficient to estimate the leverage of the consolidated entity (U.S. Steel).  For the case analyses, annual reports, Moodys manuals, and financial press articles (mostly from the </w:t>
      </w:r>
      <w:r w:rsidRPr="00DD590C">
        <w:rPr>
          <w:i/>
        </w:rPr>
        <w:t>New York Times</w:t>
      </w:r>
      <w:r>
        <w:t xml:space="preserve"> and the </w:t>
      </w:r>
      <w:r w:rsidRPr="00DD590C">
        <w:rPr>
          <w:i/>
        </w:rPr>
        <w:t>Wall Street Journal</w:t>
      </w:r>
      <w:r>
        <w:t>) are our main source documents, but we also consult the memoirs of some executives and company histories (</w:t>
      </w:r>
      <w:hyperlink r:id="rId16" w:history="1">
        <w:r w:rsidRPr="00036EE6">
          <w:rPr>
            <w:rStyle w:val="Hyperlink"/>
          </w:rPr>
          <w:t>http://www.fundinguniverse.com/company-histories/</w:t>
        </w:r>
      </w:hyperlink>
      <w:r>
        <w:t>).</w:t>
      </w:r>
    </w:p>
    <w:p w:rsidR="005861E2" w:rsidRDefault="005861E2" w:rsidP="005861E2">
      <w:pPr>
        <w:widowControl w:val="0"/>
        <w:jc w:val="center"/>
        <w:rPr>
          <w:b/>
        </w:rPr>
      </w:pPr>
      <w:r>
        <w:rPr>
          <w:b/>
          <w:noProof/>
          <w:lang w:eastAsia="zh-CN"/>
        </w:rPr>
        <w:drawing>
          <wp:inline distT="0" distB="0" distL="0" distR="0">
            <wp:extent cx="5648325" cy="2295525"/>
            <wp:effectExtent l="0" t="0" r="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61E2" w:rsidRPr="00F946FC" w:rsidRDefault="005861E2" w:rsidP="005861E2">
      <w:pPr>
        <w:widowControl w:val="0"/>
      </w:pPr>
      <w:r w:rsidRPr="00F946FC">
        <w:rPr>
          <w:b/>
        </w:rPr>
        <w:t>General Electric’s conservative leverage, transitory debt usage, and conversion to a high leverage capital structure</w:t>
      </w:r>
      <w:r w:rsidRPr="00F946FC">
        <w:t xml:space="preserve">: GE had virtually no debt outstanding from the mid-1920s through the end of World War II, but </w:t>
      </w:r>
      <w:r w:rsidRPr="00CD3B48">
        <w:rPr>
          <w:i/>
        </w:rPr>
        <w:t>Debt/TA</w:t>
      </w:r>
      <w:r w:rsidRPr="00F946FC">
        <w:t xml:space="preserve"> spiked to 0.255 in 1946, as </w:t>
      </w:r>
      <w:r>
        <w:t>the firm</w:t>
      </w:r>
      <w:r w:rsidRPr="00F946FC">
        <w:t xml:space="preserve"> took out a 20-year $200 million loan </w:t>
      </w:r>
      <w:r>
        <w:t xml:space="preserve">from a group of insurance companies </w:t>
      </w:r>
      <w:r w:rsidRPr="00F946FC">
        <w:t>(and arranged a $100 million bank credit line) to help fund a sub</w:t>
      </w:r>
      <w:r>
        <w:t>stantial expansion of productive</w:t>
      </w:r>
      <w:r w:rsidRPr="00F946FC">
        <w:t xml:space="preserve"> capacity to meet the demands of the post-war econom</w:t>
      </w:r>
      <w:r>
        <w:t xml:space="preserve">y.  GE paid off much of this debt by 1950.  </w:t>
      </w:r>
      <w:r w:rsidRPr="00CD3B48">
        <w:rPr>
          <w:i/>
        </w:rPr>
        <w:t>Debt/TA</w:t>
      </w:r>
      <w:r>
        <w:t xml:space="preserve"> increased sharply</w:t>
      </w:r>
      <w:r w:rsidRPr="00F946FC">
        <w:t xml:space="preserve"> to 0.114 in 1951 and then to 0.239 in 1956 as GE borrowed to fund further expansion.  </w:t>
      </w:r>
      <w:r w:rsidRPr="00CD3B48">
        <w:rPr>
          <w:i/>
        </w:rPr>
        <w:t>Debt/TA</w:t>
      </w:r>
      <w:r w:rsidRPr="00F946FC">
        <w:t xml:space="preserve"> also increased sharply in the 1960s and 1980s, converting GE into a highly levered firm with </w:t>
      </w:r>
      <w:r w:rsidRPr="00CD3B48">
        <w:rPr>
          <w:i/>
        </w:rPr>
        <w:t>Debt/TA</w:t>
      </w:r>
      <w:r w:rsidRPr="00F946FC">
        <w:t xml:space="preserve"> above 0.600 by the late 1980s – an increase in leverage that reflects GE’s substantially increased emphasis on the provision of financial services.</w:t>
      </w:r>
    </w:p>
    <w:p w:rsidR="005861E2" w:rsidRDefault="005861E2" w:rsidP="005861E2">
      <w:r>
        <w:br w:type="page"/>
      </w:r>
    </w:p>
    <w:p w:rsidR="005861E2" w:rsidRDefault="005861E2" w:rsidP="005861E2">
      <w:pPr>
        <w:widowControl w:val="0"/>
        <w:jc w:val="center"/>
        <w:rPr>
          <w:sz w:val="20"/>
          <w:szCs w:val="20"/>
        </w:rPr>
      </w:pPr>
      <w:r w:rsidRPr="0064028E">
        <w:rPr>
          <w:noProof/>
          <w:sz w:val="20"/>
          <w:szCs w:val="20"/>
          <w:lang w:eastAsia="zh-CN"/>
        </w:rPr>
        <w:lastRenderedPageBreak/>
        <w:drawing>
          <wp:inline distT="0" distB="0" distL="0" distR="0">
            <wp:extent cx="5438775" cy="2400300"/>
            <wp:effectExtent l="0" t="0" r="0" b="0"/>
            <wp:docPr id="4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61E2" w:rsidRDefault="005861E2" w:rsidP="005861E2">
      <w:pPr>
        <w:widowControl w:val="0"/>
      </w:pPr>
      <w:r w:rsidRPr="001172ED">
        <w:rPr>
          <w:b/>
        </w:rPr>
        <w:t xml:space="preserve">General Motors’ post-World War II “levering up” </w:t>
      </w:r>
      <w:r>
        <w:rPr>
          <w:b/>
        </w:rPr>
        <w:t>to fund expansion</w:t>
      </w:r>
      <w:r w:rsidRPr="001172ED">
        <w:t xml:space="preserve">:GM’s cash balances were reduced substantially by a UAW strike that resulted in closure of most plants in 1945, and in reduced earnings for 1946 that were inadequate to cover the dividend.  This cash squeeze led GM to borrow $125 million from eight insurance firms.  Thus began a series of large debt increases that helped fund GM’s massive post-war expansion, and that took </w:t>
      </w:r>
      <w:r w:rsidRPr="00CD3B48">
        <w:rPr>
          <w:i/>
        </w:rPr>
        <w:t>Debt/TA</w:t>
      </w:r>
      <w:r w:rsidRPr="001172ED">
        <w:t xml:space="preserve"> from 0.001 in 1945 to 0.366 in 1956.  GM made huge capital outlays over 1950 to 1953 and had plans to accelerate the rate of expenditure, and so, in </w:t>
      </w:r>
      <w:r>
        <w:t xml:space="preserve">Alfred P. </w:t>
      </w:r>
      <w:r w:rsidRPr="001172ED">
        <w:t xml:space="preserve">Sloan’s words, “it was clear that we would have to raise new capital if we were to continue to pay out a substantial part of each year’s earnings in the form of dividends.”  GM accordingly sold $300 million in long-term debt in late 1953, and raised $325 million of equity in early 1955 in a rights offering that was the largest-to-date public stock offering by an industrial firm.  Rights offering notwithstanding, </w:t>
      </w:r>
      <w:r w:rsidRPr="00CD3B48">
        <w:rPr>
          <w:i/>
        </w:rPr>
        <w:t>Debt/TA</w:t>
      </w:r>
      <w:r w:rsidRPr="001172ED">
        <w:t xml:space="preserve"> increased in 1955 and again in 1956.</w:t>
      </w:r>
    </w:p>
    <w:p w:rsidR="005861E2" w:rsidRDefault="005861E2" w:rsidP="005861E2">
      <w:pPr>
        <w:widowControl w:val="0"/>
        <w:jc w:val="center"/>
        <w:rPr>
          <w:sz w:val="20"/>
          <w:szCs w:val="20"/>
        </w:rPr>
      </w:pPr>
      <w:r w:rsidRPr="00B52545">
        <w:rPr>
          <w:noProof/>
          <w:sz w:val="20"/>
          <w:szCs w:val="20"/>
          <w:lang w:eastAsia="zh-CN"/>
        </w:rPr>
        <w:drawing>
          <wp:inline distT="0" distB="0" distL="0" distR="0">
            <wp:extent cx="5381625" cy="2447925"/>
            <wp:effectExtent l="0" t="0" r="0" b="0"/>
            <wp:docPr id="4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61E2" w:rsidRDefault="005861E2" w:rsidP="005861E2">
      <w:pPr>
        <w:widowControl w:val="0"/>
      </w:pPr>
      <w:r w:rsidRPr="005A2CD8">
        <w:rPr>
          <w:b/>
        </w:rPr>
        <w:t>IBM’s deleveragin</w:t>
      </w:r>
      <w:r>
        <w:rPr>
          <w:b/>
        </w:rPr>
        <w:t>g during the 1950s and 1960s</w:t>
      </w:r>
      <w:r>
        <w:t xml:space="preserve">: In 1957, two years into Tom Watson Jr.’s tenure as president and a year after the death of his father (IBM’s legendary founder), the firm raised $200 million in a rights offering that was the second largest public stock offering on record.  Watson Jr. </w:t>
      </w:r>
      <w:r w:rsidRPr="005A2CD8">
        <w:t xml:space="preserve">indicated that </w:t>
      </w:r>
      <w:r>
        <w:t xml:space="preserve">IBM sold stock because it </w:t>
      </w:r>
      <w:r w:rsidRPr="005A2CD8">
        <w:t>had “borrowed as much as you could borrow</w:t>
      </w:r>
      <w:r>
        <w:t>.</w:t>
      </w:r>
      <w:r w:rsidRPr="005A2CD8">
        <w:t>”</w:t>
      </w:r>
      <w:r>
        <w:t xml:space="preserve">  Over the next 15 years, </w:t>
      </w:r>
      <w:r w:rsidRPr="00CD3B48">
        <w:rPr>
          <w:i/>
        </w:rPr>
        <w:t>Debt/TA</w:t>
      </w:r>
      <w:r>
        <w:t xml:space="preserve"> declined markedly</w:t>
      </w:r>
      <w:r w:rsidRPr="005A2CD8">
        <w:t>, reaching 0.099 in 1971 when Watson Jr. retired.  This leverage decline was driven largely by asset growth rat</w:t>
      </w:r>
      <w:r>
        <w:t xml:space="preserve">her than by debt paydown or </w:t>
      </w:r>
      <w:r w:rsidRPr="005A2CD8">
        <w:t xml:space="preserve">stock sales.  In 1966, with </w:t>
      </w:r>
      <w:r w:rsidRPr="00CD3B48">
        <w:rPr>
          <w:i/>
        </w:rPr>
        <w:t>De</w:t>
      </w:r>
      <w:r w:rsidR="00CD3B48">
        <w:rPr>
          <w:i/>
        </w:rPr>
        <w:t>bt/TA</w:t>
      </w:r>
      <w:r>
        <w:t xml:space="preserve"> near</w:t>
      </w:r>
      <w:r w:rsidRPr="005A2CD8">
        <w:t xml:space="preserve"> 0.100</w:t>
      </w:r>
      <w:r>
        <w:t xml:space="preserve"> and IBM operating with ample debt capacity that could have been tapped for cash</w:t>
      </w:r>
      <w:r w:rsidRPr="005A2CD8">
        <w:t xml:space="preserve">, </w:t>
      </w:r>
      <w:r>
        <w:t>IBM</w:t>
      </w:r>
      <w:r w:rsidRPr="005A2CD8">
        <w:t xml:space="preserve"> sold equity to meet </w:t>
      </w:r>
      <w:r>
        <w:t xml:space="preserve">unanticipated </w:t>
      </w:r>
      <w:r w:rsidRPr="005A2CD8">
        <w:t xml:space="preserve">funding </w:t>
      </w:r>
      <w:r>
        <w:t>needs associated with</w:t>
      </w:r>
      <w:r w:rsidRPr="005A2CD8">
        <w:t xml:space="preserve"> its all-out campaign to produce the IBM 360 mainframe computer.</w:t>
      </w:r>
      <w:r>
        <w:t xml:space="preserve">  The funding need was not due to a technological shock, but rather to the fact that IBM’s cash management controls were so poor that management discovered the firm would soon be unable to meet payroll without raising outside capital!</w:t>
      </w:r>
    </w:p>
    <w:p w:rsidR="005861E2" w:rsidRDefault="005861E2" w:rsidP="005861E2">
      <w:pPr>
        <w:widowControl w:val="0"/>
        <w:jc w:val="center"/>
        <w:rPr>
          <w:sz w:val="20"/>
          <w:szCs w:val="20"/>
        </w:rPr>
      </w:pPr>
      <w:r w:rsidRPr="00FA47A7">
        <w:rPr>
          <w:noProof/>
          <w:sz w:val="20"/>
          <w:szCs w:val="20"/>
          <w:lang w:eastAsia="zh-CN"/>
        </w:rPr>
        <w:lastRenderedPageBreak/>
        <w:drawing>
          <wp:inline distT="0" distB="0" distL="0" distR="0">
            <wp:extent cx="5610225" cy="2524125"/>
            <wp:effectExtent l="0" t="0" r="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61E2" w:rsidRDefault="005861E2" w:rsidP="005861E2">
      <w:pPr>
        <w:widowControl w:val="0"/>
      </w:pPr>
      <w:r w:rsidRPr="00061DB3">
        <w:rPr>
          <w:b/>
        </w:rPr>
        <w:t>Procter &amp; Gamble’s “levering up” and deleveraging of the 1950s</w:t>
      </w:r>
      <w:r w:rsidRPr="00061DB3">
        <w:t xml:space="preserve">: </w:t>
      </w:r>
      <w:r>
        <w:t xml:space="preserve">From 1922 through the mid-1950s, P&amp;G was conservatively levered, with 1928 the only year in which leverage exceeded 0.100, and then only slightly so.  </w:t>
      </w:r>
      <w:r w:rsidRPr="00061DB3">
        <w:t xml:space="preserve">In explaining P&amp;G’s 1956 bond offering, the firm’s president said, “the increase in our business has accelerated with the rapid advance in this country’s population and economy so the company is no longer able to provide its capital needs and still distribute a reasonable share of corporate earnings to its shareholders.”  This bond offering followed an also large note placement in 1952.  </w:t>
      </w:r>
      <w:r w:rsidRPr="00CD3B48">
        <w:rPr>
          <w:i/>
        </w:rPr>
        <w:t>Debt/TA</w:t>
      </w:r>
      <w:r w:rsidRPr="00061DB3">
        <w:t xml:space="preserve"> hit a local peak of 0.170 in </w:t>
      </w:r>
      <w:r>
        <w:t xml:space="preserve">1957, and then gradually fell </w:t>
      </w:r>
      <w:r w:rsidRPr="00061DB3">
        <w:t>back below 0.100 – not because of debt repayment, but because the firm’s rapid asset growth outpaced its modest debt increase.</w:t>
      </w:r>
    </w:p>
    <w:p w:rsidR="005861E2" w:rsidRDefault="005861E2" w:rsidP="005861E2">
      <w:pPr>
        <w:widowControl w:val="0"/>
      </w:pPr>
    </w:p>
    <w:p w:rsidR="005861E2" w:rsidRPr="00061DB3" w:rsidRDefault="005861E2" w:rsidP="005861E2">
      <w:pPr>
        <w:widowControl w:val="0"/>
      </w:pPr>
    </w:p>
    <w:p w:rsidR="005861E2" w:rsidRDefault="005861E2" w:rsidP="005861E2">
      <w:pPr>
        <w:widowControl w:val="0"/>
        <w:jc w:val="center"/>
      </w:pPr>
      <w:r w:rsidRPr="00256DF4">
        <w:rPr>
          <w:noProof/>
          <w:lang w:eastAsia="zh-CN"/>
        </w:rPr>
        <w:drawing>
          <wp:inline distT="0" distB="0" distL="0" distR="0">
            <wp:extent cx="5676900" cy="2324100"/>
            <wp:effectExtent l="0" t="0" r="0" b="0"/>
            <wp:docPr id="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61E2" w:rsidRDefault="005861E2" w:rsidP="005861E2">
      <w:pPr>
        <w:widowControl w:val="0"/>
      </w:pPr>
      <w:r>
        <w:rPr>
          <w:b/>
        </w:rPr>
        <w:t>Allied Chemical’s “levering up” to fund post-war expansion</w:t>
      </w:r>
      <w:r>
        <w:t xml:space="preserve">: In 1924, Allied Chemical’s management proudly announced that it had paid off all debt, and the firm remained debt-free until the early 1950s.  In 1951, the firm borrowed $50 million from a group of banks, and announced it would potentially increase its total borrowing to $200 million (which it did the next year) to help fund construction expenditures.  </w:t>
      </w:r>
      <w:r w:rsidRPr="00CD3B48">
        <w:rPr>
          <w:i/>
        </w:rPr>
        <w:t>Debt/TA</w:t>
      </w:r>
      <w:r>
        <w:t xml:space="preserve"> jumped from 0.000 in 1951 to 0.356 in 1953.  The deleveraging over the next few years occurred passively, with total debt remaining constant and asset growth resulting in a lower leverage ratio.  The firm never again approached the unlevered capital structure it maintained from prior to the Depression through the early 1950s.</w:t>
      </w:r>
    </w:p>
    <w:p w:rsidR="005861E2" w:rsidRDefault="005861E2" w:rsidP="005861E2">
      <w:pPr>
        <w:widowControl w:val="0"/>
      </w:pPr>
    </w:p>
    <w:p w:rsidR="005861E2" w:rsidRDefault="005861E2" w:rsidP="005861E2">
      <w:pPr>
        <w:widowControl w:val="0"/>
      </w:pPr>
    </w:p>
    <w:p w:rsidR="005861E2" w:rsidRPr="00CB30DA" w:rsidRDefault="005861E2" w:rsidP="005861E2">
      <w:pPr>
        <w:widowControl w:val="0"/>
        <w:jc w:val="center"/>
        <w:rPr>
          <w:rFonts w:cs="Times New Roman"/>
        </w:rPr>
      </w:pPr>
      <w:r w:rsidRPr="00CB30DA">
        <w:rPr>
          <w:rFonts w:cs="Times New Roman"/>
          <w:noProof/>
          <w:lang w:eastAsia="zh-CN"/>
        </w:rPr>
        <w:lastRenderedPageBreak/>
        <w:drawing>
          <wp:inline distT="0" distB="0" distL="0" distR="0">
            <wp:extent cx="5534025" cy="2333625"/>
            <wp:effectExtent l="0" t="0" r="0" b="0"/>
            <wp:docPr id="5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61E2" w:rsidRDefault="005861E2" w:rsidP="005861E2">
      <w:pPr>
        <w:widowControl w:val="0"/>
      </w:pPr>
      <w:r>
        <w:rPr>
          <w:b/>
        </w:rPr>
        <w:t>Union Carbide’s “levering up” and passive deleveraging during its post-World War II expansion</w:t>
      </w:r>
      <w:r>
        <w:t xml:space="preserve">: In 1945, Union Carbide paid off its outstanding debt of $23 million and terminated its $50 million credit line, which it had obtained in 1942, but never used.  In that year, the firm also doubled its outlays for the construction and acquisition of production facilities to $23 million (from $11 million in 1944), and projected that it would soon make “substantially larger” outlays.  Actual capital outlays totaled $49.7 million in 1946 and $104.2 million in 1947, and expenditures on additional production capacity totaled $281 million from the end of the war through 1948.  In 1947, </w:t>
      </w:r>
      <w:r w:rsidRPr="00CD3B48">
        <w:rPr>
          <w:i/>
        </w:rPr>
        <w:t>Debt/TA</w:t>
      </w:r>
      <w:r>
        <w:t xml:space="preserve"> spiked from 0.000 to 0.231, as Union Carbide borrowed $150 million from three insurance companies to provide “funds required for the expansion program.”  The deleveraging over the next several years was passive, as the firm’s debt obligations remained constant and its asset growth continued at a significant rate.</w:t>
      </w:r>
    </w:p>
    <w:p w:rsidR="005861E2" w:rsidRDefault="005861E2" w:rsidP="005861E2">
      <w:pPr>
        <w:widowControl w:val="0"/>
        <w:jc w:val="center"/>
        <w:rPr>
          <w:sz w:val="20"/>
          <w:szCs w:val="20"/>
        </w:rPr>
      </w:pPr>
      <w:r w:rsidRPr="000E7C2B">
        <w:rPr>
          <w:noProof/>
          <w:sz w:val="20"/>
          <w:szCs w:val="20"/>
          <w:lang w:eastAsia="zh-CN"/>
        </w:rPr>
        <w:drawing>
          <wp:inline distT="0" distB="0" distL="0" distR="0">
            <wp:extent cx="5562600" cy="2600325"/>
            <wp:effectExtent l="0" t="0" r="0" b="0"/>
            <wp:docPr id="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61E2" w:rsidRPr="00061DB3" w:rsidRDefault="005861E2" w:rsidP="005861E2">
      <w:pPr>
        <w:widowControl w:val="0"/>
      </w:pPr>
      <w:r w:rsidRPr="00061DB3">
        <w:rPr>
          <w:b/>
        </w:rPr>
        <w:t>Sears Roebuck’s “levering up” of the 1950s</w:t>
      </w:r>
      <w:r w:rsidRPr="00061DB3">
        <w:t xml:space="preserve">: </w:t>
      </w:r>
      <w:r w:rsidRPr="00CD3B48">
        <w:rPr>
          <w:i/>
        </w:rPr>
        <w:t>Debt/TA</w:t>
      </w:r>
      <w:r w:rsidRPr="00061DB3">
        <w:t xml:space="preserve"> jumped from 0.000 to 0.158 in 1951, as Sears took on bank debt “in large measure to finance installment-sales terms to customers.”  </w:t>
      </w:r>
      <w:r w:rsidRPr="00CD3B48">
        <w:rPr>
          <w:i/>
        </w:rPr>
        <w:t>Debt/TA</w:t>
      </w:r>
      <w:r w:rsidRPr="00061DB3">
        <w:t xml:space="preserve"> eroded slightly over the next few years through asset growth, a contribution of stock to the pension fund, and a small, temporary debt reduction.  This leverage reduction briefly delayed Sears’ transformation into a more highly leveraged entity – a transformation that reflects its evolution from a “cash sales” business to one in which consumer credit extension was an important element of sales.  </w:t>
      </w:r>
      <w:r w:rsidRPr="00CD3B48">
        <w:rPr>
          <w:i/>
        </w:rPr>
        <w:t>Debt/TA</w:t>
      </w:r>
      <w:r w:rsidRPr="00061DB3">
        <w:t xml:space="preserve"> increased from 0.070 in 1956 to 0.277 in 1958, reflecting greater borrowing associated with expansion of the installment-loan and revolving credit business (and formation of a captive finance subsidiary).</w:t>
      </w:r>
    </w:p>
    <w:p w:rsidR="005861E2" w:rsidRDefault="005861E2" w:rsidP="005861E2">
      <w:r>
        <w:br w:type="page"/>
      </w:r>
    </w:p>
    <w:p w:rsidR="005861E2" w:rsidRDefault="005861E2" w:rsidP="005861E2">
      <w:pPr>
        <w:widowControl w:val="0"/>
        <w:rPr>
          <w:b/>
        </w:rPr>
      </w:pPr>
    </w:p>
    <w:p w:rsidR="005861E2" w:rsidRDefault="005861E2" w:rsidP="005861E2">
      <w:pPr>
        <w:widowControl w:val="0"/>
        <w:jc w:val="center"/>
        <w:rPr>
          <w:b/>
        </w:rPr>
      </w:pPr>
      <w:r w:rsidRPr="00ED5ADE">
        <w:rPr>
          <w:b/>
          <w:noProof/>
          <w:lang w:eastAsia="zh-CN"/>
        </w:rPr>
        <w:drawing>
          <wp:inline distT="0" distB="0" distL="0" distR="0">
            <wp:extent cx="5543550" cy="2390775"/>
            <wp:effectExtent l="0" t="0" r="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861E2" w:rsidRDefault="005861E2" w:rsidP="005861E2">
      <w:pPr>
        <w:widowControl w:val="0"/>
      </w:pPr>
      <w:r>
        <w:rPr>
          <w:b/>
        </w:rPr>
        <w:t>International Harvester</w:t>
      </w:r>
      <w:r w:rsidRPr="00D7533F">
        <w:rPr>
          <w:b/>
        </w:rPr>
        <w:t>’s 1950s transition from conservative to substantial leverage</w:t>
      </w:r>
      <w:r>
        <w:t xml:space="preserve">: IH’s </w:t>
      </w:r>
      <w:r w:rsidRPr="00CD3B48">
        <w:rPr>
          <w:i/>
        </w:rPr>
        <w:t>Debt/TA</w:t>
      </w:r>
      <w:r>
        <w:t xml:space="preserve"> ratio declined from 0.137 in 1913 to 0.050 in 1920 to 0.000 in 1926 and, over the next two decades, never exceeded 0.003.  In 1949, IH formed a captive finance subsidiary to provide supplementary credit for dealers, distributors, and retail customers, with the subsidiary taking on a significant amount of short-term bank debt, which raised the parent’s </w:t>
      </w:r>
      <w:r w:rsidRPr="00CD3B48">
        <w:rPr>
          <w:i/>
        </w:rPr>
        <w:t>Debt/TA</w:t>
      </w:r>
      <w:r>
        <w:t xml:space="preserve"> ratio to 0.062.  Increased borrowing to support the credit subsidiary’s activities raised </w:t>
      </w:r>
      <w:r w:rsidRPr="00CD3B48">
        <w:rPr>
          <w:i/>
        </w:rPr>
        <w:t>Debt/TA</w:t>
      </w:r>
      <w:r>
        <w:t xml:space="preserve"> above 0.200 by 1952, and it remained above that level for the next five decades.</w:t>
      </w:r>
    </w:p>
    <w:p w:rsidR="005861E2" w:rsidRDefault="005861E2" w:rsidP="005861E2">
      <w:pPr>
        <w:widowControl w:val="0"/>
        <w:jc w:val="center"/>
      </w:pPr>
      <w:r w:rsidRPr="009F6809">
        <w:rPr>
          <w:noProof/>
          <w:lang w:eastAsia="zh-CN"/>
        </w:rPr>
        <w:drawing>
          <wp:inline distT="0" distB="0" distL="0" distR="0">
            <wp:extent cx="5695950" cy="25431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861E2" w:rsidRDefault="005861E2" w:rsidP="005861E2">
      <w:pPr>
        <w:widowControl w:val="0"/>
      </w:pPr>
      <w:r w:rsidRPr="002B74C4">
        <w:rPr>
          <w:b/>
        </w:rPr>
        <w:t>Caterpillar’s transitory debt issuances and conversion from a conservative to high leverage capital structure</w:t>
      </w:r>
      <w:r>
        <w:t xml:space="preserve">: From 1926 to 1945, Caterpillar went through four periods in which it borrowed a moderate amount and then fully repaid the debt and restored a 0.000 </w:t>
      </w:r>
      <w:r w:rsidRPr="00CD3B48">
        <w:rPr>
          <w:i/>
        </w:rPr>
        <w:t>Debt/TA</w:t>
      </w:r>
      <w:r>
        <w:t xml:space="preserve"> ratio.  In 1946, sales fell 44% amid a month-long strike at a major plant and a general post-war shortage of inputs, and </w:t>
      </w:r>
      <w:r w:rsidRPr="00CD3B48">
        <w:rPr>
          <w:i/>
        </w:rPr>
        <w:t>Debt/TA</w:t>
      </w:r>
      <w:r>
        <w:t xml:space="preserve"> spiked from 0.000 to 0.196, as the firm borrowed $20 million, or four times the largest amount of debt it had outstanding over the prior 20 years.  Management indicated that this debenture offering was “made for the purpose of providing part of the funds for the plant expansion now in progress.”  In 1948, </w:t>
      </w:r>
      <w:r w:rsidRPr="00CD3B48">
        <w:rPr>
          <w:i/>
        </w:rPr>
        <w:t>Debt/TA</w:t>
      </w:r>
      <w:r>
        <w:t xml:space="preserve"> jumped to 0.278 as Caterpillar took on substantial bank debt to “provide more capital for expansion of its plant facilities.”  In 1956, </w:t>
      </w:r>
      <w:r w:rsidRPr="00CD3B48">
        <w:rPr>
          <w:i/>
        </w:rPr>
        <w:t>Debt/TA</w:t>
      </w:r>
      <w:r>
        <w:t xml:space="preserve"> declined to 0.082, with Caterpillar using the proceeds of a $33.2 million stock offering in part to pay down debt and to enhance the possibility that “outside funds for growth can be satisfactorily obtained from term bank loans.”</w:t>
      </w:r>
    </w:p>
    <w:p w:rsidR="005861E2" w:rsidRDefault="005861E2" w:rsidP="005861E2">
      <w:pPr>
        <w:widowControl w:val="0"/>
      </w:pPr>
    </w:p>
    <w:p w:rsidR="005861E2" w:rsidRDefault="005861E2" w:rsidP="005861E2">
      <w:pPr>
        <w:widowControl w:val="0"/>
        <w:jc w:val="center"/>
        <w:rPr>
          <w:b/>
        </w:rPr>
      </w:pPr>
      <w:r w:rsidRPr="004A3324">
        <w:rPr>
          <w:b/>
          <w:noProof/>
          <w:lang w:eastAsia="zh-CN"/>
        </w:rPr>
        <w:lastRenderedPageBreak/>
        <w:drawing>
          <wp:inline distT="0" distB="0" distL="0" distR="0">
            <wp:extent cx="5524500" cy="2343150"/>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861E2" w:rsidRDefault="005861E2" w:rsidP="005861E2">
      <w:pPr>
        <w:widowControl w:val="0"/>
      </w:pPr>
      <w:r>
        <w:rPr>
          <w:b/>
        </w:rPr>
        <w:t>B.F. Goodrich’s 1960s “levering up” to fund expansion, followed by (mostly passive) deleveraging</w:t>
      </w:r>
      <w:r>
        <w:t xml:space="preserve">:  From the mid-1940s through the mid-1960s, Goodrich’s leverage remained relatively stable, with </w:t>
      </w:r>
      <w:r w:rsidRPr="00CD3B48">
        <w:rPr>
          <w:i/>
        </w:rPr>
        <w:t>Debt/TA</w:t>
      </w:r>
      <w:r>
        <w:t xml:space="preserve"> neither falling below 0.080 nor exceeding 0.175.  </w:t>
      </w:r>
      <w:r w:rsidRPr="00CD3B48">
        <w:rPr>
          <w:i/>
        </w:rPr>
        <w:t>Debt/TA</w:t>
      </w:r>
      <w:r>
        <w:t xml:space="preserve"> increased from 0.159 in 1965 to 0.192 in 1965 as B.F. Goodrich borrowed to fund the highest capital expenditures in the firm’s history.  The company announced a five-year $400 million capital expenditure program for 1966 to 1970, and additional borrowing to fund that program raised </w:t>
      </w:r>
      <w:r w:rsidRPr="00CD3B48">
        <w:rPr>
          <w:i/>
        </w:rPr>
        <w:t>Debt/TA</w:t>
      </w:r>
      <w:r>
        <w:t xml:space="preserve"> to 0.403 in 1970.  A decade of deleveraging followed with </w:t>
      </w:r>
      <w:r w:rsidRPr="00CD3B48">
        <w:rPr>
          <w:i/>
        </w:rPr>
        <w:t>Debt/TA</w:t>
      </w:r>
      <w:r>
        <w:t xml:space="preserve"> declining to 0.230 in 1979.  This substantial deleveraging reflects a modest amount of debt repayment, but was largely due to Goodrich’s substantial growth in assets.  </w:t>
      </w:r>
      <w:r w:rsidR="008A3E35">
        <w:t>(</w:t>
      </w:r>
      <w:r>
        <w:t>Goodyear Tire &amp; Rubber also materially ramped up its borrowing from 1965 to 1970 to fund record high capital expenditures, and then passively deleveraged over the next 10 years as asset growth outstripped additional borrowing.  Goodyear T&amp;R’s “levering up” in the 1960s is evident in the graph below, but our case discussion of this firm focuses on its sharp leverage increase in the 1980s.</w:t>
      </w:r>
      <w:r w:rsidR="008A3E35">
        <w:t>)</w:t>
      </w:r>
    </w:p>
    <w:p w:rsidR="005861E2" w:rsidRDefault="005861E2" w:rsidP="005861E2">
      <w:pPr>
        <w:widowControl w:val="0"/>
        <w:jc w:val="center"/>
      </w:pPr>
      <w:r w:rsidRPr="008F5150">
        <w:rPr>
          <w:noProof/>
          <w:lang w:eastAsia="zh-CN"/>
        </w:rPr>
        <w:drawing>
          <wp:inline distT="0" distB="0" distL="0" distR="0">
            <wp:extent cx="5543550" cy="23431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861E2" w:rsidRDefault="005861E2" w:rsidP="005861E2">
      <w:pPr>
        <w:widowControl w:val="0"/>
      </w:pPr>
      <w:r>
        <w:rPr>
          <w:b/>
        </w:rPr>
        <w:t>Goodyear’s transitory borrowing to repurchase stock and deter a hostile takeover, followed by deleveraging financed by asset sales</w:t>
      </w:r>
      <w:r>
        <w:t xml:space="preserve">:  Goodyear fended off a 1986 hostile takeover attempt by Sir James Goldsmith through a debt-financed repurchase of almost half of its stock (from Goldsmith and public investors), which raised </w:t>
      </w:r>
      <w:r w:rsidRPr="00CD3B48">
        <w:rPr>
          <w:i/>
        </w:rPr>
        <w:t>Debt/TA</w:t>
      </w:r>
      <w:r>
        <w:t xml:space="preserve"> from 0.165 in 1985 to 0.431 in 1987.  The firm also announced restructuring plans that included sales of its energy and aerospace units, with cash proceeds earmarked for debt reduction.  By 1993, repayment of debt reduced the firm’s debt almost back to its 1985 level, with </w:t>
      </w:r>
      <w:r w:rsidRPr="00CD3B48">
        <w:rPr>
          <w:i/>
        </w:rPr>
        <w:t>Debt/TA</w:t>
      </w:r>
      <w:r>
        <w:t xml:space="preserve"> at 0.168, or virtually identical to the leverage ratio that had prevailed prior to Goldsmith’s takeover attempt.  </w:t>
      </w:r>
      <w:r w:rsidR="008A3E35">
        <w:t>(</w:t>
      </w:r>
      <w:r>
        <w:t>In 1985, Goodyear’s close competitor B.F. Goodrich voluntarily announced a major restructuring that included plans for asset sales and debt reduction.  The resultant deleveraging is apparent in the leverage graph for B.F. Goodrich in the case study presented immediately above.</w:t>
      </w:r>
      <w:r w:rsidR="008A3E35">
        <w:t>)</w:t>
      </w:r>
    </w:p>
    <w:p w:rsidR="005861E2" w:rsidRDefault="005861E2" w:rsidP="005861E2">
      <w:pPr>
        <w:widowControl w:val="0"/>
      </w:pPr>
      <w:r w:rsidRPr="00C11EB9">
        <w:rPr>
          <w:noProof/>
          <w:lang w:eastAsia="zh-CN"/>
        </w:rPr>
        <w:lastRenderedPageBreak/>
        <w:drawing>
          <wp:inline distT="0" distB="0" distL="0" distR="0">
            <wp:extent cx="6353175" cy="23241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b/>
        </w:rPr>
        <w:t>Altria’s transitory debt issuance to fund acquisitions and 1940s transition from conservative to substantial leverage</w:t>
      </w:r>
      <w:r>
        <w:t xml:space="preserve">: With the brief exception of a small loan in 1926, Altria avoided debt from 1920 to 1933.  </w:t>
      </w:r>
      <w:r w:rsidRPr="00CD3B48">
        <w:rPr>
          <w:i/>
        </w:rPr>
        <w:t>Debt/TA</w:t>
      </w:r>
      <w:r>
        <w:t xml:space="preserve"> spiked to 0.271 in 1934 as Altria used a bank loan to acquire assets from two other tobacco firms.  Altria’s debt was almost fully paid off by 1940, with the bulk of the proceeds for debt reduction coming from a preferred stock sale in the latter year.  Funded by both debt and preferred stock sales over the next several years, Altria’s assets grew 131% over 1940 to 1945, with its cigarette products the object of intense demand by the troops during World War II.  </w:t>
      </w:r>
      <w:r w:rsidRPr="00CD3B48">
        <w:rPr>
          <w:i/>
        </w:rPr>
        <w:t>Debt/TA</w:t>
      </w:r>
      <w:r>
        <w:t xml:space="preserve"> increased from 0.001 in 1940 to 0.422 in 1945 and the firm never again approached a conservatively leveraged capital structure.  </w:t>
      </w:r>
      <w:r w:rsidRPr="00CD3B48">
        <w:rPr>
          <w:i/>
        </w:rPr>
        <w:t>Debt/TA</w:t>
      </w:r>
      <w:r>
        <w:t xml:space="preserve"> ranged between approximately 0.300 and 0.500 over the 50 years following World War II.</w:t>
      </w:r>
    </w:p>
    <w:p w:rsidR="005861E2" w:rsidRDefault="005861E2" w:rsidP="005861E2">
      <w:pPr>
        <w:widowControl w:val="0"/>
        <w:jc w:val="center"/>
      </w:pPr>
      <w:r w:rsidRPr="00474636">
        <w:rPr>
          <w:noProof/>
          <w:lang w:eastAsia="zh-CN"/>
        </w:rPr>
        <w:drawing>
          <wp:inline distT="0" distB="0" distL="0" distR="0">
            <wp:extent cx="5638800" cy="2447925"/>
            <wp:effectExtent l="0" t="0" r="0" b="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861E2" w:rsidRDefault="005861E2" w:rsidP="005861E2">
      <w:pPr>
        <w:widowControl w:val="0"/>
      </w:pPr>
      <w:r>
        <w:rPr>
          <w:b/>
        </w:rPr>
        <w:t>American Tobacco’s 1950s deleveraging and 1960s debt-financed diversifying acquisitions</w:t>
      </w:r>
      <w:r>
        <w:t xml:space="preserve">: In 1942, American Tobacco borrowed heavily to fund inventory expansion, in the process taking </w:t>
      </w:r>
      <w:r w:rsidRPr="00CD3B48">
        <w:rPr>
          <w:i/>
        </w:rPr>
        <w:t>Debt/TA</w:t>
      </w:r>
      <w:r>
        <w:t xml:space="preserve"> to nearly 0.500, after having its leverage ratio remain near 0.000 from the mid-1920s to mid-1930s.  Over the 1950s and early 1960s, the firm was in deleveraging mode, with </w:t>
      </w:r>
      <w:r w:rsidRPr="00CD3B48">
        <w:rPr>
          <w:i/>
        </w:rPr>
        <w:t>Debt/TA</w:t>
      </w:r>
      <w:r>
        <w:t xml:space="preserve"> reduced to nearly 0.100 through a combination of substantial debt repayments and moderate asset growth.  </w:t>
      </w:r>
      <w:r w:rsidRPr="00CD3B48">
        <w:rPr>
          <w:i/>
        </w:rPr>
        <w:t>Debt/TA</w:t>
      </w:r>
      <w:r>
        <w:t xml:space="preserve"> increased from 0.123 in 1964 to 0.193 in 1965 primarily due to short-term borrowing to purchase tobacco leaves and retire preferred stock.  Over the next five years, American Tobacco took on substantial additional debt to help fund numerous acquisitions, lifting </w:t>
      </w:r>
      <w:r w:rsidRPr="00CD3B48">
        <w:rPr>
          <w:i/>
        </w:rPr>
        <w:t>Debt/TA</w:t>
      </w:r>
      <w:r>
        <w:t xml:space="preserve"> to 0.376 in 1970.  The early 1960s were a period of considerable bad news about the health consequences of smoking, and the firm’s acquisition program focused almost entirely on diversifying out of tobacco and into alcoholic beverages, biscuits, information storage, office supplies, locks, toiletries, and soaps.  The firm was renamed American Brands (later Fortune Brands) in recognition of its new broader business orientation.</w:t>
      </w:r>
    </w:p>
    <w:p w:rsidR="005861E2" w:rsidRPr="00BC6B5E" w:rsidRDefault="005861E2" w:rsidP="005861E2">
      <w:pPr>
        <w:widowControl w:val="0"/>
      </w:pPr>
      <w:r w:rsidRPr="00B52545">
        <w:rPr>
          <w:noProof/>
          <w:sz w:val="20"/>
          <w:szCs w:val="20"/>
          <w:lang w:eastAsia="zh-CN"/>
        </w:rPr>
        <w:lastRenderedPageBreak/>
        <w:drawing>
          <wp:inline distT="0" distB="0" distL="0" distR="0">
            <wp:extent cx="5419725" cy="2686050"/>
            <wp:effectExtent l="0" t="0" r="0" b="0"/>
            <wp:docPr id="5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61DB3">
        <w:rPr>
          <w:b/>
        </w:rPr>
        <w:t>Eastman Kodak’s “levering up” of the 1980s</w:t>
      </w:r>
      <w:r>
        <w:rPr>
          <w:b/>
        </w:rPr>
        <w:t xml:space="preserve"> and 1994 deleveraging</w:t>
      </w:r>
      <w:r w:rsidRPr="00061DB3">
        <w:t xml:space="preserve">:  </w:t>
      </w:r>
      <w:r>
        <w:t xml:space="preserve">After more than 80 years with little or no debt, Kodak’s </w:t>
      </w:r>
      <w:r w:rsidRPr="00CD3B48">
        <w:rPr>
          <w:i/>
        </w:rPr>
        <w:t>Debt/TA</w:t>
      </w:r>
      <w:r>
        <w:t xml:space="preserve"> ratio spiked to over 0.400 in the late-1980s.  Kodakin the 19</w:t>
      </w:r>
      <w:r w:rsidRPr="00061DB3">
        <w:t>80s faced substantial downward pressure on profitability, which led the firm to abandon its policy of paternalistic employment guarantees for workers</w:t>
      </w:r>
      <w:r>
        <w:t xml:space="preserve">, thereby providing </w:t>
      </w:r>
      <w:r w:rsidRPr="00061DB3">
        <w:t xml:space="preserve">financial breathing room for the firm to consider large amounts of debt capital.  </w:t>
      </w:r>
      <w:r>
        <w:t>Increased c</w:t>
      </w:r>
      <w:r w:rsidRPr="00061DB3">
        <w:t xml:space="preserve">ompetition in its traditional area of strength – film and camera production – led Kodak to experiment with debt-financed </w:t>
      </w:r>
      <w:r>
        <w:t xml:space="preserve">diversifying </w:t>
      </w:r>
      <w:r w:rsidRPr="00061DB3">
        <w:t>acquisitions, most notably to spend $5.1 billion to buy Sterling Drug in 1988.</w:t>
      </w:r>
      <w:r>
        <w:t xml:space="preserve">  In the early 1990s, layoffs continued and investors began pressuring Kodak, with the board ultimately firing the CEO for not moving aggressively enough to cut costs.  The</w:t>
      </w:r>
      <w:r w:rsidRPr="00BC6B5E">
        <w:t xml:space="preserve"> large deleveraging in 1994 was funded by cash raise</w:t>
      </w:r>
      <w:r>
        <w:t xml:space="preserve">d by the new CEO’s program to </w:t>
      </w:r>
      <w:r w:rsidRPr="00BC6B5E">
        <w:t>divest the vast bulk of assets (including t</w:t>
      </w:r>
      <w:r>
        <w:t>hose of Sterling Drug) with</w:t>
      </w:r>
      <w:r w:rsidRPr="00BC6B5E">
        <w:t xml:space="preserve"> no relation to photography and electronic imaging.  </w:t>
      </w:r>
      <w:r>
        <w:t xml:space="preserve">By year-end 1994, the </w:t>
      </w:r>
      <w:r w:rsidRPr="00CD3B48">
        <w:rPr>
          <w:i/>
        </w:rPr>
        <w:t>Debt/TA</w:t>
      </w:r>
      <w:r>
        <w:t xml:space="preserve"> ratio was down to 0.069 after remaining above 0.360 for six years, but this low leverage position lasted only briefly, as Kodak took on new debt in 1998 and 2000.</w:t>
      </w:r>
    </w:p>
    <w:p w:rsidR="005861E2" w:rsidRDefault="005861E2" w:rsidP="005861E2">
      <w:pPr>
        <w:widowControl w:val="0"/>
        <w:jc w:val="center"/>
        <w:rPr>
          <w:sz w:val="20"/>
          <w:szCs w:val="20"/>
        </w:rPr>
      </w:pPr>
      <w:r w:rsidRPr="008D652D">
        <w:rPr>
          <w:noProof/>
          <w:sz w:val="20"/>
          <w:szCs w:val="20"/>
          <w:lang w:eastAsia="zh-CN"/>
        </w:rPr>
        <w:drawing>
          <wp:inline distT="0" distB="0" distL="0" distR="0">
            <wp:extent cx="5638800" cy="2457450"/>
            <wp:effectExtent l="0" t="0" r="0" b="0"/>
            <wp:docPr id="5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861E2" w:rsidRPr="00061DB3" w:rsidRDefault="005861E2" w:rsidP="005861E2">
      <w:pPr>
        <w:widowControl w:val="0"/>
        <w:rPr>
          <w:b/>
        </w:rPr>
      </w:pPr>
      <w:r w:rsidRPr="00061DB3">
        <w:rPr>
          <w:b/>
        </w:rPr>
        <w:t>Du Pont’s transition from conservative to moderate leverage</w:t>
      </w:r>
      <w:r w:rsidRPr="00061DB3">
        <w:t xml:space="preserve">: </w:t>
      </w:r>
      <w:r w:rsidRPr="00CD3B48">
        <w:rPr>
          <w:i/>
        </w:rPr>
        <w:t>Debt/TA</w:t>
      </w:r>
      <w:r w:rsidRPr="00061DB3">
        <w:t xml:space="preserve"> remained near 0.000 from the mid-1920s throug</w:t>
      </w:r>
      <w:r>
        <w:t>h the mid-1960s and then steadi</w:t>
      </w:r>
      <w:r w:rsidRPr="00061DB3">
        <w:t xml:space="preserve">ly increased to 0.074 by 1973.  In 1974, leverage spiked to 0.186 as Du Pont borrowed to fund substantial capital outlays amid a recession-related earnings decline.  In 1981, </w:t>
      </w:r>
      <w:r w:rsidRPr="00CD3B48">
        <w:rPr>
          <w:i/>
        </w:rPr>
        <w:t>Debt/TA</w:t>
      </w:r>
      <w:r w:rsidRPr="00061DB3">
        <w:t xml:space="preserve"> spiked again (now to 0.298) as Du Pont borrowed aggressively to buy Conoco, while announcing plans for asset sales to “restore the financial flexibility needed for pursuit of major investment opportunities.”  </w:t>
      </w:r>
      <w:r w:rsidRPr="00CD3B48">
        <w:rPr>
          <w:i/>
        </w:rPr>
        <w:t>Debt/TA</w:t>
      </w:r>
      <w:r>
        <w:t xml:space="preserve"> declined to 0.173 by 1988 andthen remained above,</w:t>
      </w:r>
      <w:r w:rsidRPr="00061DB3">
        <w:t xml:space="preserve"> and typically well above</w:t>
      </w:r>
      <w:r>
        <w:t xml:space="preserve">, </w:t>
      </w:r>
      <w:r w:rsidRPr="00061DB3">
        <w:t>0.150</w:t>
      </w:r>
      <w:r>
        <w:t xml:space="preserve"> for</w:t>
      </w:r>
      <w:r w:rsidRPr="00061DB3">
        <w:t xml:space="preserve"> the next 20 years</w:t>
      </w:r>
      <w:r>
        <w:t>.</w:t>
      </w:r>
    </w:p>
    <w:p w:rsidR="005861E2" w:rsidRDefault="005861E2" w:rsidP="005861E2">
      <w:pPr>
        <w:widowControl w:val="0"/>
        <w:rPr>
          <w:sz w:val="20"/>
          <w:szCs w:val="20"/>
        </w:rPr>
      </w:pPr>
    </w:p>
    <w:p w:rsidR="005861E2" w:rsidRDefault="005861E2" w:rsidP="005861E2">
      <w:pPr>
        <w:widowControl w:val="0"/>
        <w:jc w:val="center"/>
        <w:rPr>
          <w:sz w:val="20"/>
          <w:szCs w:val="20"/>
        </w:rPr>
      </w:pPr>
      <w:r w:rsidRPr="003219EA">
        <w:rPr>
          <w:noProof/>
          <w:sz w:val="20"/>
          <w:szCs w:val="20"/>
          <w:lang w:eastAsia="zh-CN"/>
        </w:rPr>
        <w:lastRenderedPageBreak/>
        <w:drawing>
          <wp:inline distT="0" distB="0" distL="0" distR="0">
            <wp:extent cx="5372100" cy="2724150"/>
            <wp:effectExtent l="0" t="0" r="0" b="0"/>
            <wp:docPr id="6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861E2" w:rsidRDefault="005861E2" w:rsidP="005861E2">
      <w:pPr>
        <w:widowControl w:val="0"/>
      </w:pPr>
      <w:r w:rsidRPr="00061DB3">
        <w:rPr>
          <w:b/>
        </w:rPr>
        <w:t xml:space="preserve">ChevronTexaco’s stable conservative capital structure and transitory debt issuance to fund </w:t>
      </w:r>
      <w:r>
        <w:rPr>
          <w:b/>
        </w:rPr>
        <w:t xml:space="preserve">an </w:t>
      </w:r>
      <w:r w:rsidRPr="00061DB3">
        <w:rPr>
          <w:b/>
        </w:rPr>
        <w:t>acquisition</w:t>
      </w:r>
      <w:r w:rsidRPr="00061DB3">
        <w:t xml:space="preserve">:  With one brief exception, Chevron’s </w:t>
      </w:r>
      <w:r w:rsidRPr="00CD3B48">
        <w:rPr>
          <w:i/>
        </w:rPr>
        <w:t>Debt/TA</w:t>
      </w:r>
      <w:r w:rsidRPr="00061DB3">
        <w:t xml:space="preserve"> ratio remained below 0.150 from 1911 to 1983.  In 1984, </w:t>
      </w:r>
      <w:r w:rsidRPr="00CD3B48">
        <w:rPr>
          <w:i/>
        </w:rPr>
        <w:t>Debt/TA</w:t>
      </w:r>
      <w:r w:rsidRPr="00061DB3">
        <w:t xml:space="preserve"> spiked from 0.</w:t>
      </w:r>
      <w:r>
        <w:t>0</w:t>
      </w:r>
      <w:r w:rsidRPr="00061DB3">
        <w:t xml:space="preserve">83 to 0.375 as the firm borrowed to buy Gulf Oil.  Chevron also announced plans to sell assets and pay down debt to strengthen the firm’s credit rating, which was cut below </w:t>
      </w:r>
      <w:r w:rsidR="008A3E35">
        <w:t>AA</w:t>
      </w:r>
      <w:r w:rsidRPr="00061DB3">
        <w:t>A by the major rating agencies as a result of the debt taken on to buy Gulf.</w:t>
      </w:r>
    </w:p>
    <w:p w:rsidR="005861E2" w:rsidRDefault="005861E2" w:rsidP="005861E2">
      <w:pPr>
        <w:widowControl w:val="0"/>
      </w:pPr>
    </w:p>
    <w:p w:rsidR="005861E2" w:rsidRDefault="005861E2" w:rsidP="005861E2">
      <w:pPr>
        <w:widowControl w:val="0"/>
      </w:pPr>
      <w:r w:rsidRPr="00D41030">
        <w:rPr>
          <w:noProof/>
          <w:lang w:eastAsia="zh-CN"/>
        </w:rPr>
        <w:drawing>
          <wp:inline distT="0" distB="0" distL="0" distR="0">
            <wp:extent cx="5543550" cy="25527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9D02FC">
        <w:rPr>
          <w:b/>
        </w:rPr>
        <w:t xml:space="preserve">Texaco’s stable leverage over four decades and subsequent leverage increase to fund </w:t>
      </w:r>
      <w:r>
        <w:rPr>
          <w:b/>
        </w:rPr>
        <w:t xml:space="preserve">an </w:t>
      </w:r>
      <w:r w:rsidRPr="009D02FC">
        <w:rPr>
          <w:b/>
        </w:rPr>
        <w:t>acquisition</w:t>
      </w:r>
      <w:r w:rsidRPr="009D02FC">
        <w:t xml:space="preserve">: From the late-1930s to the mid-1980s, </w:t>
      </w:r>
      <w:r w:rsidRPr="00A1432C">
        <w:rPr>
          <w:i/>
        </w:rPr>
        <w:t>Debt/TA</w:t>
      </w:r>
      <w:r w:rsidRPr="009D02FC">
        <w:t xml:space="preserve"> largely remained within a band of </w:t>
      </w:r>
      <w:r>
        <w:t xml:space="preserve">approximately </w:t>
      </w:r>
      <w:r w:rsidRPr="009D02FC">
        <w:t xml:space="preserve">0.100 and 0.200, reflecting large, but roughly proportionate, growth in assets and debt, with bond offerings often used to raise funds for investment.  In 1984, </w:t>
      </w:r>
      <w:r w:rsidRPr="00A1432C">
        <w:rPr>
          <w:i/>
        </w:rPr>
        <w:t>Debt/TA</w:t>
      </w:r>
      <w:r w:rsidRPr="009D02FC">
        <w:t xml:space="preserve"> increased sharply from 0.112 to 0.320, as Texaco borrowed to buy Getty Oil for about $10 billion and to pay $1.3 billion to repurchase 9.9% of its stock.  Over the next two years, Texaco reduced </w:t>
      </w:r>
      <w:r w:rsidRPr="00A1432C">
        <w:rPr>
          <w:i/>
        </w:rPr>
        <w:t>Debt/TA</w:t>
      </w:r>
      <w:r w:rsidRPr="009D02FC">
        <w:t xml:space="preserve"> by 0.059 by paying off debt with cash from </w:t>
      </w:r>
      <w:r>
        <w:t xml:space="preserve">operations and asset sales.  </w:t>
      </w:r>
      <w:r w:rsidR="008A3E35">
        <w:t>(</w:t>
      </w:r>
      <w:r>
        <w:t xml:space="preserve">Texaco’s parent-firm leverage actually showed more volatility around this time than is apparent from the diagram due to accounting reclassification of </w:t>
      </w:r>
      <w:r w:rsidRPr="009D02FC">
        <w:t xml:space="preserve">debt </w:t>
      </w:r>
      <w:r>
        <w:t>(as another type of liability)</w:t>
      </w:r>
      <w:r w:rsidR="008A3E35">
        <w:t>,</w:t>
      </w:r>
      <w:r w:rsidRPr="009D02FC">
        <w:t>that was required when a contractual dispute over the Getty merger led Texaco to file for Chapter 11.</w:t>
      </w:r>
      <w:r w:rsidR="008A3E35">
        <w:t>)</w:t>
      </w:r>
    </w:p>
    <w:p w:rsidR="005861E2" w:rsidRDefault="005861E2" w:rsidP="005861E2">
      <w:pPr>
        <w:widowControl w:val="0"/>
        <w:jc w:val="center"/>
        <w:rPr>
          <w:sz w:val="20"/>
          <w:szCs w:val="20"/>
        </w:rPr>
      </w:pPr>
      <w:r w:rsidRPr="007E6149">
        <w:rPr>
          <w:noProof/>
          <w:sz w:val="20"/>
          <w:szCs w:val="20"/>
          <w:lang w:eastAsia="zh-CN"/>
        </w:rPr>
        <w:lastRenderedPageBreak/>
        <w:drawing>
          <wp:inline distT="0" distB="0" distL="0" distR="0">
            <wp:extent cx="5534025" cy="2466975"/>
            <wp:effectExtent l="0" t="0" r="0"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861E2" w:rsidRDefault="005861E2" w:rsidP="005861E2">
      <w:pPr>
        <w:widowControl w:val="0"/>
      </w:pPr>
      <w:r w:rsidRPr="00061DB3">
        <w:rPr>
          <w:b/>
        </w:rPr>
        <w:t xml:space="preserve">Exxon’s stable capital structure </w:t>
      </w:r>
      <w:r>
        <w:rPr>
          <w:b/>
        </w:rPr>
        <w:t xml:space="preserve">over the 1940s to 1960s </w:t>
      </w:r>
      <w:r w:rsidRPr="00061DB3">
        <w:rPr>
          <w:b/>
        </w:rPr>
        <w:t xml:space="preserve">and </w:t>
      </w:r>
      <w:r>
        <w:rPr>
          <w:b/>
        </w:rPr>
        <w:t xml:space="preserve">its </w:t>
      </w:r>
      <w:r w:rsidRPr="00061DB3">
        <w:rPr>
          <w:b/>
        </w:rPr>
        <w:t>late 1960s decision to “lever up”</w:t>
      </w:r>
      <w:r w:rsidRPr="00061DB3">
        <w:t xml:space="preserve">: In 1957, Exxon raised $281 million in a rights offering that had little impact on its </w:t>
      </w:r>
      <w:r w:rsidRPr="00A1432C">
        <w:rPr>
          <w:i/>
        </w:rPr>
        <w:t>Debt/TA</w:t>
      </w:r>
      <w:r w:rsidRPr="00061DB3">
        <w:t xml:space="preserve"> ratio, which remained near 0.100 from </w:t>
      </w:r>
      <w:r>
        <w:t xml:space="preserve">the early-1940s </w:t>
      </w:r>
      <w:r w:rsidRPr="00061DB3">
        <w:t xml:space="preserve">to 1966.  The </w:t>
      </w:r>
      <w:r>
        <w:t xml:space="preserve">1957 </w:t>
      </w:r>
      <w:r w:rsidRPr="00061DB3">
        <w:t>stock sale was motivated by a need for cash to fund profitable growth opportunities, and the firm explained the decision to raise equity rather than borrowing as an action that “has kept the company’s debt at a conservative level in relation to total capital….and also has improved its financial flexibility for meeting future needs and opportunities as they arise.”  Exxon took on substantial new debt in the late 1960s because its “investment program has doubled in the last three years and has required more funds than have been available from expanding internal cash flows.”</w:t>
      </w:r>
    </w:p>
    <w:p w:rsidR="005861E2" w:rsidRDefault="005861E2" w:rsidP="005861E2">
      <w:pPr>
        <w:widowControl w:val="0"/>
        <w:jc w:val="center"/>
      </w:pPr>
      <w:r w:rsidRPr="009229F8">
        <w:rPr>
          <w:noProof/>
          <w:lang w:eastAsia="zh-CN"/>
        </w:rPr>
        <w:drawing>
          <wp:inline distT="0" distB="0" distL="0" distR="0">
            <wp:extent cx="5495925" cy="2343150"/>
            <wp:effectExtent l="0" t="0" r="0" b="0"/>
            <wp:docPr id="7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861E2" w:rsidRDefault="005861E2" w:rsidP="005861E2">
      <w:pPr>
        <w:widowControl w:val="0"/>
      </w:pPr>
    </w:p>
    <w:p w:rsidR="005861E2" w:rsidRDefault="005861E2" w:rsidP="005861E2">
      <w:pPr>
        <w:widowControl w:val="0"/>
      </w:pPr>
      <w:r>
        <w:rPr>
          <w:b/>
        </w:rPr>
        <w:t>AT&amp;T’s 1950s equityfinancing program to limit its leverage and build financial flexibility</w:t>
      </w:r>
      <w:r w:rsidR="00A1432C">
        <w:t xml:space="preserve">: With its </w:t>
      </w:r>
      <w:r w:rsidR="00A1432C" w:rsidRPr="00A1432C">
        <w:rPr>
          <w:i/>
        </w:rPr>
        <w:t>Debt/TA</w:t>
      </w:r>
      <w:r>
        <w:t xml:space="preserve"> ratio reaching 0.464 in 1949, management expressed concern about the extent of AT&amp;T’s reliance on debt capital and articulated a general plan to reduce leverage: “Most of the new money to meet service demands should come from the issue of stock, either through bond conversion or otherwise.  That is the foundation of our entire financing program.”  Financial flexibility was at the core of management’s deleveraging strategy: “As a long-range objective, the proportion of debt should be further reduced.  Experience makes clear the wisdom of this.  When the System entered the postwar period, less than a third of its capital was debt.  That made it possible for the Bell Companies to obtain, in a very short time, the enormous amounts of new money needed to meet unprecedented service demands….We should be no less well prepared in the future.”</w:t>
      </w:r>
    </w:p>
    <w:p w:rsidR="005861E2" w:rsidRDefault="005861E2" w:rsidP="005861E2">
      <w:pPr>
        <w:widowControl w:val="0"/>
        <w:jc w:val="center"/>
        <w:rPr>
          <w:sz w:val="20"/>
          <w:szCs w:val="20"/>
        </w:rPr>
      </w:pPr>
      <w:r w:rsidRPr="00EA5FFA">
        <w:rPr>
          <w:noProof/>
          <w:sz w:val="20"/>
          <w:szCs w:val="20"/>
          <w:lang w:eastAsia="zh-CN"/>
        </w:rPr>
        <w:lastRenderedPageBreak/>
        <w:drawing>
          <wp:inline distT="0" distB="0" distL="0" distR="0">
            <wp:extent cx="5648325" cy="2476500"/>
            <wp:effectExtent l="0" t="0" r="0" b="0"/>
            <wp:docPr id="6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861E2" w:rsidRDefault="005861E2" w:rsidP="005861E2">
      <w:pPr>
        <w:widowControl w:val="0"/>
        <w:jc w:val="center"/>
        <w:rPr>
          <w:sz w:val="20"/>
          <w:szCs w:val="20"/>
        </w:rPr>
      </w:pPr>
    </w:p>
    <w:p w:rsidR="005861E2" w:rsidRPr="007A06A0" w:rsidRDefault="005861E2" w:rsidP="005861E2">
      <w:pPr>
        <w:widowControl w:val="0"/>
      </w:pPr>
      <w:r w:rsidRPr="007A06A0">
        <w:rPr>
          <w:b/>
        </w:rPr>
        <w:t xml:space="preserve">U.S. Steel’s presciently timed 1929 deleveraging: </w:t>
      </w:r>
      <w:r w:rsidRPr="007A06A0">
        <w:t xml:space="preserve">U.S. Steel repaid 72% of its debt – primarily with cash generated from operations but also from a rights offering of common stock – and thereby reduced </w:t>
      </w:r>
      <w:r w:rsidRPr="00A1432C">
        <w:rPr>
          <w:i/>
        </w:rPr>
        <w:t>Debt/TA</w:t>
      </w:r>
      <w:r w:rsidRPr="007A06A0">
        <w:t xml:space="preserve"> from 0.197 to 0.059 in 1929.  This deleveraging was the brainchild of </w:t>
      </w:r>
      <w:r>
        <w:t xml:space="preserve">board member </w:t>
      </w:r>
      <w:r w:rsidRPr="007A06A0">
        <w:t xml:space="preserve">Myron Taylor, who was </w:t>
      </w:r>
      <w:r>
        <w:t xml:space="preserve">then chairman of the finance committee and </w:t>
      </w:r>
      <w:r w:rsidRPr="007A06A0">
        <w:t>soon to be named chairman of the firm.  U.S. Steel projected an annual earnings increase of $20.9 million due to the recapitalization, which provided breathing room to help it weather what turned out to be four years of losses during the Depression.</w:t>
      </w:r>
    </w:p>
    <w:p w:rsidR="005861E2" w:rsidRDefault="005861E2" w:rsidP="005861E2">
      <w:pPr>
        <w:widowControl w:val="0"/>
        <w:rPr>
          <w:sz w:val="20"/>
          <w:szCs w:val="20"/>
        </w:rPr>
      </w:pPr>
    </w:p>
    <w:p w:rsidR="005861E2" w:rsidRDefault="005861E2" w:rsidP="005861E2">
      <w:pPr>
        <w:widowControl w:val="0"/>
        <w:jc w:val="center"/>
        <w:rPr>
          <w:sz w:val="20"/>
          <w:szCs w:val="20"/>
        </w:rPr>
      </w:pPr>
      <w:r w:rsidRPr="00190C68">
        <w:rPr>
          <w:noProof/>
          <w:sz w:val="20"/>
          <w:szCs w:val="20"/>
          <w:lang w:eastAsia="zh-CN"/>
        </w:rPr>
        <w:drawing>
          <wp:inline distT="0" distB="0" distL="0" distR="0">
            <wp:extent cx="5410200" cy="2628900"/>
            <wp:effectExtent l="0" t="0" r="0" b="0"/>
            <wp:docPr id="6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861E2" w:rsidRDefault="005861E2" w:rsidP="005861E2">
      <w:pPr>
        <w:widowControl w:val="0"/>
        <w:rPr>
          <w:b/>
        </w:rPr>
      </w:pPr>
    </w:p>
    <w:p w:rsidR="005861E2" w:rsidRPr="007A06A0" w:rsidRDefault="005861E2" w:rsidP="005861E2">
      <w:pPr>
        <w:widowControl w:val="0"/>
      </w:pPr>
      <w:r w:rsidRPr="007A06A0">
        <w:rPr>
          <w:b/>
        </w:rPr>
        <w:t>Bethlehem Steel’s “follow the leader” 1929 deleveraging</w:t>
      </w:r>
      <w:r>
        <w:t>: Com</w:t>
      </w:r>
      <w:r w:rsidRPr="007A06A0">
        <w:t xml:space="preserve">ing </w:t>
      </w:r>
      <w:r>
        <w:t xml:space="preserve">shortly </w:t>
      </w:r>
      <w:r w:rsidRPr="007A06A0">
        <w:t xml:space="preserve">on the heels of the 1929 deleveraging announced by U.S. Steel, which at the time was arguably the most prominent corporation in the world, Bethlehem Steel initiated a major deleveraging right before the start of the Depression.  The firm raised $136 million through rights offerings of common stock on June 18 and October 21 of 1929, which were remarkably timed just prior to the Crash on October 29.  Debt repayments reduced </w:t>
      </w:r>
      <w:r w:rsidRPr="00A1432C">
        <w:rPr>
          <w:i/>
        </w:rPr>
        <w:t>Debt/TA</w:t>
      </w:r>
      <w:r w:rsidRPr="007A06A0">
        <w:t xml:space="preserve"> from 0.310 in 1928 to 0.163 in 1930, providing financial breathing room</w:t>
      </w:r>
      <w:r>
        <w:t xml:space="preserve"> for the very difficult times that Bethlehem Steel</w:t>
      </w:r>
      <w:r w:rsidRPr="007A06A0">
        <w:t xml:space="preserve"> faced in the 1930s.</w:t>
      </w:r>
    </w:p>
    <w:p w:rsidR="005861E2" w:rsidRDefault="005861E2" w:rsidP="005861E2">
      <w:pPr>
        <w:widowControl w:val="0"/>
      </w:pPr>
    </w:p>
    <w:p w:rsidR="005861E2" w:rsidRDefault="005861E2" w:rsidP="005861E2">
      <w:pPr>
        <w:widowControl w:val="0"/>
        <w:jc w:val="center"/>
      </w:pPr>
      <w:r w:rsidRPr="00D569B4">
        <w:rPr>
          <w:noProof/>
          <w:lang w:eastAsia="zh-CN"/>
        </w:rPr>
        <w:lastRenderedPageBreak/>
        <w:drawing>
          <wp:inline distT="0" distB="0" distL="0" distR="0">
            <wp:extent cx="5457825" cy="2305050"/>
            <wp:effectExtent l="0" t="0" r="0" b="0"/>
            <wp:docPr id="6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861E2" w:rsidRDefault="005861E2" w:rsidP="005861E2">
      <w:pPr>
        <w:widowControl w:val="0"/>
      </w:pPr>
      <w:r>
        <w:rPr>
          <w:b/>
        </w:rPr>
        <w:t>International Paper’s protracted financial trouble, subsequent deleveraging, and mid-1960s decision to “lever up”</w:t>
      </w:r>
      <w:r>
        <w:t xml:space="preserve">:  IP was experiencing financial difficulties as early as 1927.  The firm omitted its common stock dividend in late 1930, reported losses in each year over 1931 to 1935, and was in arrears on preferred dividends by 1931 and remained so until 1941.  IP started paying down its debt in 1929 and, with some modest reversals along the way, attained a zero-debt capital structure in 1947.  Management highlighted its march to a zero-debt capital structure in a large graphic in the firm’s annual report.  </w:t>
      </w:r>
      <w:r w:rsidRPr="00A1432C">
        <w:rPr>
          <w:i/>
        </w:rPr>
        <w:t>Debt/TA</w:t>
      </w:r>
      <w:r>
        <w:t xml:space="preserve"> remained at 0.000 through 1965, and in 1966 IP began borrowing to fund large capital outlays, raising leverage sharply to 0.312 by 1970.</w:t>
      </w:r>
    </w:p>
    <w:p w:rsidR="005861E2" w:rsidRDefault="005861E2" w:rsidP="005861E2">
      <w:pPr>
        <w:widowControl w:val="0"/>
      </w:pPr>
    </w:p>
    <w:p w:rsidR="005861E2" w:rsidRDefault="005861E2" w:rsidP="005861E2">
      <w:pPr>
        <w:widowControl w:val="0"/>
        <w:jc w:val="center"/>
        <w:rPr>
          <w:b/>
        </w:rPr>
      </w:pPr>
      <w:r w:rsidRPr="00C25E27">
        <w:rPr>
          <w:b/>
          <w:noProof/>
          <w:lang w:eastAsia="zh-CN"/>
        </w:rPr>
        <w:drawing>
          <wp:inline distT="0" distB="0" distL="0" distR="0">
            <wp:extent cx="5534025" cy="2286000"/>
            <wp:effectExtent l="0" t="0" r="0" b="0"/>
            <wp:docPr id="6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861E2" w:rsidRDefault="005861E2" w:rsidP="005861E2">
      <w:pPr>
        <w:widowControl w:val="0"/>
      </w:pPr>
      <w:r>
        <w:rPr>
          <w:b/>
        </w:rPr>
        <w:t>Woolworth’s levering up amid financial trouble, followed by proactive deleveraging</w:t>
      </w:r>
      <w:r>
        <w:t xml:space="preserve">:  In 1993, Woolworth reported a $495 million loss and announced plans to close (or convert to alternative retail formats) 970 unprofitable stores.  In 1994, the firm cut its dividend and capital expenditures, and the CEO and CFO were replaced amid allegations of accounting improprieties.  During the financial troubles of 1993 and 1994, Woolworth increased short-term debt by almost $800 million, raising </w:t>
      </w:r>
      <w:r w:rsidRPr="00A1432C">
        <w:rPr>
          <w:i/>
        </w:rPr>
        <w:t>Debt/TA</w:t>
      </w:r>
      <w:r>
        <w:t xml:space="preserve"> from 0.119 to 0.285.  In 1995, with a new permanent CEO in charge, the firm reported another loss, omitted its dividend, and cut its capital expenditures further.  In the same year, Woolworth reduced total debt by $475 million (with short-term debt reduced by almost $800 million through debt repayment and replacement with long-term debt).  Further debt repayment in 1996 reduced </w:t>
      </w:r>
      <w:r w:rsidRPr="00A1432C">
        <w:rPr>
          <w:i/>
        </w:rPr>
        <w:t>Debt/TA</w:t>
      </w:r>
      <w:r>
        <w:t xml:space="preserve"> to 0.172, but a brief borrowing resurgence raised </w:t>
      </w:r>
      <w:r w:rsidRPr="00A1432C">
        <w:rPr>
          <w:i/>
        </w:rPr>
        <w:t>Debt/TA</w:t>
      </w:r>
      <w:r>
        <w:t xml:space="preserve"> to 0.267 in 1998.  Over the next 10 years, Woolworth reduced debt from $767 million to $142 million, lowering </w:t>
      </w:r>
      <w:r w:rsidRPr="00A1432C">
        <w:rPr>
          <w:i/>
        </w:rPr>
        <w:t>Debt/TA</w:t>
      </w:r>
      <w:r>
        <w:t xml:space="preserve"> to 0.049 in 2008.</w:t>
      </w:r>
    </w:p>
    <w:p w:rsidR="005861E2" w:rsidRDefault="005861E2" w:rsidP="005861E2">
      <w:pPr>
        <w:widowControl w:val="0"/>
        <w:rPr>
          <w:sz w:val="20"/>
          <w:szCs w:val="20"/>
        </w:rPr>
      </w:pPr>
    </w:p>
    <w:p w:rsidR="005861E2" w:rsidRDefault="005861E2" w:rsidP="005861E2">
      <w:pPr>
        <w:widowControl w:val="0"/>
        <w:jc w:val="center"/>
        <w:rPr>
          <w:sz w:val="20"/>
          <w:szCs w:val="20"/>
        </w:rPr>
      </w:pPr>
    </w:p>
    <w:p w:rsidR="005861E2" w:rsidRDefault="005861E2" w:rsidP="005861E2">
      <w:pPr>
        <w:widowControl w:val="0"/>
        <w:jc w:val="center"/>
        <w:rPr>
          <w:sz w:val="20"/>
          <w:szCs w:val="20"/>
        </w:rPr>
      </w:pPr>
      <w:r w:rsidRPr="00FF525D">
        <w:rPr>
          <w:noProof/>
          <w:sz w:val="20"/>
          <w:szCs w:val="20"/>
          <w:lang w:eastAsia="zh-CN"/>
        </w:rPr>
        <w:lastRenderedPageBreak/>
        <w:drawing>
          <wp:inline distT="0" distB="0" distL="0" distR="0">
            <wp:extent cx="5705475" cy="2533650"/>
            <wp:effectExtent l="0" t="0" r="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861E2" w:rsidRDefault="005861E2" w:rsidP="005861E2">
      <w:pPr>
        <w:widowControl w:val="0"/>
      </w:pPr>
      <w:r w:rsidRPr="00061DB3">
        <w:rPr>
          <w:b/>
        </w:rPr>
        <w:t>Coca-Cola’s “levering up” of the 1980s</w:t>
      </w:r>
      <w:r w:rsidRPr="00061DB3">
        <w:t>: The appointment of Roberto Goizueta as CEO in 198</w:t>
      </w:r>
      <w:r>
        <w:t>0</w:t>
      </w:r>
      <w:r w:rsidRPr="00061DB3">
        <w:t xml:space="preserve"> marked a sharp shift in Coca-Cola’s financial policies toward more aggressive use of debt, including a willingness to borrow to make acquisitions (e.g., to acquire Columbia Pictures</w:t>
      </w:r>
      <w:r>
        <w:t xml:space="preserve"> in 1982</w:t>
      </w:r>
      <w:r w:rsidRPr="00061DB3">
        <w:t xml:space="preserve">).  </w:t>
      </w:r>
      <w:r>
        <w:t xml:space="preserve">The CEO’s letter to shareholders in the 1985 annual report spelled out the firm’s new financial principles: “In the financial arena, The Coca-Cola Company is pursuing a more aggressive policy.  We are using greater financial leverage whenever strategic investment opportunities are available.  We are reinvesting a larger portion of our earnings by increasing dividends at a lesser rate than earnings per share growth….And, we are continuing to repurchase our common shares when excess cash or debt capacity exceed near-term investment requirements.”  </w:t>
      </w:r>
      <w:r w:rsidRPr="00061DB3">
        <w:t>In a 1984 interview, the firm’s CFO stated “We can go up to $1 billion without hurting our triple-A rating, and we would not hesitate to do so if something unusual comes along….” and “we will not hesitate to be a double-A company.  I want to make that very clear.”  The firm did, in fact, lose its triple-A rating because of its more aggressive use of debt.</w:t>
      </w:r>
    </w:p>
    <w:p w:rsidR="006C38E0" w:rsidRDefault="006C38E0" w:rsidP="005861E2">
      <w:pPr>
        <w:widowControl w:val="0"/>
      </w:pPr>
    </w:p>
    <w:p w:rsidR="006C38E0" w:rsidRDefault="006C38E0">
      <w:r>
        <w:br w:type="page"/>
      </w:r>
    </w:p>
    <w:p w:rsidR="006C38E0" w:rsidRPr="00DE2A70" w:rsidRDefault="006C38E0" w:rsidP="00DE2A70">
      <w:pPr>
        <w:widowControl w:val="0"/>
        <w:jc w:val="center"/>
        <w:rPr>
          <w:b/>
        </w:rPr>
      </w:pPr>
      <w:r w:rsidRPr="00DE2A70">
        <w:rPr>
          <w:b/>
        </w:rPr>
        <w:lastRenderedPageBreak/>
        <w:t>R</w:t>
      </w:r>
      <w:r w:rsidR="00DC0DD9" w:rsidRPr="00DE2A70">
        <w:rPr>
          <w:b/>
        </w:rPr>
        <w:t>EFERENCE</w:t>
      </w:r>
    </w:p>
    <w:p w:rsidR="006C38E0" w:rsidRDefault="006C38E0" w:rsidP="00DE2A70">
      <w:pPr>
        <w:widowControl w:val="0"/>
        <w:jc w:val="center"/>
      </w:pPr>
    </w:p>
    <w:p w:rsidR="006C38E0" w:rsidRPr="006C38E0" w:rsidRDefault="006C38E0" w:rsidP="006C38E0">
      <w:pPr>
        <w:widowControl w:val="0"/>
        <w:rPr>
          <w:bCs/>
        </w:rPr>
      </w:pPr>
      <w:r w:rsidRPr="006C38E0">
        <w:rPr>
          <w:bCs/>
        </w:rPr>
        <w:t xml:space="preserve">Rajan, Raghuram, and Luigi Zingales, 1995, What do we know about capital structure? Some evidence from international data, </w:t>
      </w:r>
      <w:r w:rsidRPr="006C38E0">
        <w:rPr>
          <w:bCs/>
          <w:i/>
        </w:rPr>
        <w:t>Journal of Finance</w:t>
      </w:r>
      <w:r w:rsidRPr="006C38E0">
        <w:rPr>
          <w:bCs/>
        </w:rPr>
        <w:t xml:space="preserve"> 50, 1421-1460.</w:t>
      </w:r>
    </w:p>
    <w:p w:rsidR="006C38E0" w:rsidRDefault="006C38E0" w:rsidP="006C38E0">
      <w:pPr>
        <w:widowControl w:val="0"/>
      </w:pPr>
    </w:p>
    <w:p w:rsidR="005861E2" w:rsidRDefault="005861E2" w:rsidP="005861E2">
      <w:pPr>
        <w:widowControl w:val="0"/>
        <w:rPr>
          <w:sz w:val="20"/>
          <w:szCs w:val="20"/>
        </w:rPr>
      </w:pPr>
    </w:p>
    <w:p w:rsidR="005861E2" w:rsidRDefault="005861E2" w:rsidP="005861E2"/>
    <w:p w:rsidR="005861E2" w:rsidRPr="00AA55BF" w:rsidRDefault="005861E2" w:rsidP="005861E2">
      <w:pPr>
        <w:widowControl w:val="0"/>
        <w:jc w:val="center"/>
        <w:rPr>
          <w:sz w:val="20"/>
          <w:szCs w:val="20"/>
        </w:rPr>
      </w:pPr>
    </w:p>
    <w:sectPr w:rsidR="005861E2" w:rsidRPr="00AA55BF" w:rsidSect="00DE2A70">
      <w:footerReference w:type="default" r:id="rId41"/>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9BA" w:rsidRDefault="00EA69BA" w:rsidP="0040007B">
      <w:r>
        <w:separator/>
      </w:r>
    </w:p>
  </w:endnote>
  <w:endnote w:type="continuationSeparator" w:id="1">
    <w:p w:rsidR="00EA69BA" w:rsidRDefault="00EA69BA" w:rsidP="00400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2A" w:rsidRDefault="001D73EE" w:rsidP="009137B9">
    <w:pPr>
      <w:pStyle w:val="Footer"/>
      <w:framePr w:wrap="around" w:vAnchor="text" w:hAnchor="margin" w:xAlign="center" w:y="1"/>
      <w:rPr>
        <w:rStyle w:val="PageNumber"/>
      </w:rPr>
    </w:pPr>
    <w:r>
      <w:rPr>
        <w:rStyle w:val="PageNumber"/>
      </w:rPr>
      <w:fldChar w:fldCharType="begin"/>
    </w:r>
    <w:r w:rsidR="00453C2A">
      <w:rPr>
        <w:rStyle w:val="PageNumber"/>
      </w:rPr>
      <w:instrText xml:space="preserve">PAGE  </w:instrText>
    </w:r>
    <w:r>
      <w:rPr>
        <w:rStyle w:val="PageNumber"/>
      </w:rPr>
      <w:fldChar w:fldCharType="end"/>
    </w:r>
  </w:p>
  <w:p w:rsidR="00453C2A" w:rsidRDefault="001D73EE" w:rsidP="009137B9">
    <w:pPr>
      <w:pStyle w:val="Footer"/>
      <w:framePr w:wrap="around" w:vAnchor="text" w:hAnchor="margin" w:xAlign="center" w:y="1"/>
      <w:rPr>
        <w:rStyle w:val="PageNumber"/>
      </w:rPr>
    </w:pPr>
    <w:r>
      <w:rPr>
        <w:rStyle w:val="PageNumber"/>
      </w:rPr>
      <w:fldChar w:fldCharType="begin"/>
    </w:r>
    <w:r w:rsidR="00453C2A">
      <w:rPr>
        <w:rStyle w:val="PageNumber"/>
      </w:rPr>
      <w:instrText xml:space="preserve">PAGE  </w:instrText>
    </w:r>
    <w:r>
      <w:rPr>
        <w:rStyle w:val="PageNumber"/>
      </w:rPr>
      <w:fldChar w:fldCharType="end"/>
    </w:r>
  </w:p>
  <w:p w:rsidR="00453C2A" w:rsidRDefault="00453C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454"/>
      <w:docPartObj>
        <w:docPartGallery w:val="Page Numbers (Bottom of Page)"/>
        <w:docPartUnique/>
      </w:docPartObj>
    </w:sdtPr>
    <w:sdtContent>
      <w:p w:rsidR="00453C2A" w:rsidRDefault="001D73EE">
        <w:pPr>
          <w:pStyle w:val="Footer"/>
          <w:jc w:val="center"/>
        </w:pPr>
        <w:r>
          <w:fldChar w:fldCharType="begin"/>
        </w:r>
        <w:r w:rsidR="00453C2A">
          <w:instrText xml:space="preserve"> PAGE   \* MERGEFORMAT </w:instrText>
        </w:r>
        <w:r>
          <w:fldChar w:fldCharType="separate"/>
        </w:r>
        <w:r w:rsidR="00472E37">
          <w:rPr>
            <w:noProof/>
          </w:rPr>
          <w:t>13</w:t>
        </w:r>
        <w:r>
          <w:fldChar w:fldCharType="end"/>
        </w:r>
      </w:p>
    </w:sdtContent>
  </w:sdt>
  <w:p w:rsidR="00453C2A" w:rsidRDefault="00453C2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B9" w:rsidRDefault="001D73EE" w:rsidP="00311528">
    <w:pPr>
      <w:pStyle w:val="Footer"/>
      <w:framePr w:wrap="around" w:vAnchor="text" w:hAnchor="margin" w:xAlign="center" w:y="1"/>
      <w:rPr>
        <w:rStyle w:val="PageNumber"/>
      </w:rPr>
    </w:pPr>
    <w:r>
      <w:rPr>
        <w:rStyle w:val="PageNumber"/>
      </w:rPr>
      <w:fldChar w:fldCharType="begin"/>
    </w:r>
    <w:r w:rsidR="009137B9">
      <w:rPr>
        <w:rStyle w:val="PageNumber"/>
      </w:rPr>
      <w:instrText xml:space="preserve">PAGE  </w:instrText>
    </w:r>
    <w:r>
      <w:rPr>
        <w:rStyle w:val="PageNumber"/>
      </w:rPr>
      <w:fldChar w:fldCharType="separate"/>
    </w:r>
    <w:r w:rsidR="00472E37">
      <w:rPr>
        <w:rStyle w:val="PageNumber"/>
        <w:noProof/>
      </w:rPr>
      <w:t>14</w:t>
    </w:r>
    <w:r>
      <w:rPr>
        <w:rStyle w:val="PageNumber"/>
      </w:rPr>
      <w:fldChar w:fldCharType="end"/>
    </w:r>
  </w:p>
  <w:sdt>
    <w:sdtPr>
      <w:id w:val="-1043284467"/>
      <w:docPartObj>
        <w:docPartGallery w:val="Page Numbers (Bottom of Page)"/>
        <w:docPartUnique/>
      </w:docPartObj>
    </w:sdtPr>
    <w:sdtContent>
      <w:p w:rsidR="00453C2A" w:rsidRDefault="001D73EE">
        <w:pPr>
          <w:pStyle w:val="Footer"/>
          <w:jc w:val="center"/>
        </w:pPr>
      </w:p>
    </w:sdtContent>
  </w:sdt>
  <w:p w:rsidR="00453C2A" w:rsidRDefault="00453C2A">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2A" w:rsidRDefault="00453C2A" w:rsidP="00074377">
    <w:pPr>
      <w:pStyle w:val="Footer"/>
      <w:jc w:val="center"/>
    </w:pPr>
  </w:p>
  <w:p w:rsidR="00453C2A" w:rsidRDefault="00453C2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2A" w:rsidRDefault="001D73EE" w:rsidP="00A50F7D">
    <w:pPr>
      <w:pStyle w:val="Footer"/>
      <w:framePr w:wrap="around" w:vAnchor="text" w:hAnchor="margin" w:xAlign="center" w:y="1"/>
      <w:rPr>
        <w:rStyle w:val="PageNumber"/>
      </w:rPr>
    </w:pPr>
    <w:r>
      <w:rPr>
        <w:rStyle w:val="PageNumber"/>
      </w:rPr>
      <w:fldChar w:fldCharType="begin"/>
    </w:r>
    <w:r w:rsidR="00453C2A">
      <w:rPr>
        <w:rStyle w:val="PageNumber"/>
      </w:rPr>
      <w:instrText xml:space="preserve">PAGE  </w:instrText>
    </w:r>
    <w:r>
      <w:rPr>
        <w:rStyle w:val="PageNumber"/>
      </w:rPr>
      <w:fldChar w:fldCharType="separate"/>
    </w:r>
    <w:r w:rsidR="00472E37">
      <w:rPr>
        <w:rStyle w:val="PageNumber"/>
        <w:noProof/>
      </w:rPr>
      <w:t>28</w:t>
    </w:r>
    <w:r>
      <w:rPr>
        <w:rStyle w:val="PageNumber"/>
      </w:rPr>
      <w:fldChar w:fldCharType="end"/>
    </w:r>
  </w:p>
  <w:p w:rsidR="00453C2A" w:rsidRDefault="00453C2A">
    <w:pPr>
      <w:pStyle w:val="Footer"/>
      <w:jc w:val="center"/>
    </w:pPr>
  </w:p>
  <w:p w:rsidR="00453C2A" w:rsidRPr="00DB2141" w:rsidRDefault="00453C2A" w:rsidP="005861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9BA" w:rsidRDefault="00EA69BA" w:rsidP="0040007B">
      <w:r>
        <w:separator/>
      </w:r>
    </w:p>
  </w:footnote>
  <w:footnote w:type="continuationSeparator" w:id="1">
    <w:p w:rsidR="00EA69BA" w:rsidRDefault="00EA69BA" w:rsidP="00400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B9" w:rsidRDefault="009137B9" w:rsidP="009137B9">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731"/>
    <w:multiLevelType w:val="hybridMultilevel"/>
    <w:tmpl w:val="0BB6BF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C4B27"/>
    <w:multiLevelType w:val="hybridMultilevel"/>
    <w:tmpl w:val="CE0C1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007BF"/>
    <w:multiLevelType w:val="hybridMultilevel"/>
    <w:tmpl w:val="C272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E355B"/>
    <w:multiLevelType w:val="hybridMultilevel"/>
    <w:tmpl w:val="D492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A56BF"/>
    <w:multiLevelType w:val="hybridMultilevel"/>
    <w:tmpl w:val="34C4BDE0"/>
    <w:lvl w:ilvl="0" w:tplc="1884DEFE">
      <w:start w:val="1"/>
      <w:numFmt w:val="decimal"/>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301494"/>
    <w:multiLevelType w:val="hybridMultilevel"/>
    <w:tmpl w:val="706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E0E6C"/>
    <w:multiLevelType w:val="hybridMultilevel"/>
    <w:tmpl w:val="6F847B22"/>
    <w:lvl w:ilvl="0" w:tplc="B824AB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92735"/>
    <w:multiLevelType w:val="hybridMultilevel"/>
    <w:tmpl w:val="1F5EB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2809"/>
    <w:multiLevelType w:val="hybridMultilevel"/>
    <w:tmpl w:val="4FE446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8CF0E00"/>
    <w:multiLevelType w:val="hybridMultilevel"/>
    <w:tmpl w:val="2F461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F3836"/>
    <w:multiLevelType w:val="hybridMultilevel"/>
    <w:tmpl w:val="7C3C9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0"/>
  </w:num>
  <w:num w:numId="10">
    <w:abstractNumId w:val="1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40007B"/>
    <w:rsid w:val="00001212"/>
    <w:rsid w:val="00001268"/>
    <w:rsid w:val="0000467C"/>
    <w:rsid w:val="00004F6A"/>
    <w:rsid w:val="00004FB7"/>
    <w:rsid w:val="000060D7"/>
    <w:rsid w:val="0000614F"/>
    <w:rsid w:val="000065E8"/>
    <w:rsid w:val="00006825"/>
    <w:rsid w:val="00006B17"/>
    <w:rsid w:val="00006D38"/>
    <w:rsid w:val="00007E03"/>
    <w:rsid w:val="0001072C"/>
    <w:rsid w:val="00011796"/>
    <w:rsid w:val="00012245"/>
    <w:rsid w:val="000122AA"/>
    <w:rsid w:val="00012B0C"/>
    <w:rsid w:val="0001527A"/>
    <w:rsid w:val="00015432"/>
    <w:rsid w:val="00015542"/>
    <w:rsid w:val="00015A81"/>
    <w:rsid w:val="000164C6"/>
    <w:rsid w:val="00016FC6"/>
    <w:rsid w:val="0001705A"/>
    <w:rsid w:val="00017193"/>
    <w:rsid w:val="00017BF0"/>
    <w:rsid w:val="000206FE"/>
    <w:rsid w:val="00021909"/>
    <w:rsid w:val="00022CF0"/>
    <w:rsid w:val="0002320F"/>
    <w:rsid w:val="00023F2E"/>
    <w:rsid w:val="00025F8A"/>
    <w:rsid w:val="000261AD"/>
    <w:rsid w:val="00026A64"/>
    <w:rsid w:val="000279F8"/>
    <w:rsid w:val="00030991"/>
    <w:rsid w:val="000310D1"/>
    <w:rsid w:val="00033792"/>
    <w:rsid w:val="00034207"/>
    <w:rsid w:val="0003587A"/>
    <w:rsid w:val="0003618E"/>
    <w:rsid w:val="0003744E"/>
    <w:rsid w:val="00041D72"/>
    <w:rsid w:val="00042648"/>
    <w:rsid w:val="000436EC"/>
    <w:rsid w:val="000445C4"/>
    <w:rsid w:val="00044DA3"/>
    <w:rsid w:val="00044E0A"/>
    <w:rsid w:val="00044E7D"/>
    <w:rsid w:val="00045536"/>
    <w:rsid w:val="00046E6B"/>
    <w:rsid w:val="0004708D"/>
    <w:rsid w:val="000475DC"/>
    <w:rsid w:val="00047D92"/>
    <w:rsid w:val="00047DCD"/>
    <w:rsid w:val="00050416"/>
    <w:rsid w:val="000525FE"/>
    <w:rsid w:val="00052E49"/>
    <w:rsid w:val="00052F80"/>
    <w:rsid w:val="0005543B"/>
    <w:rsid w:val="00055562"/>
    <w:rsid w:val="00055686"/>
    <w:rsid w:val="00057974"/>
    <w:rsid w:val="00057B74"/>
    <w:rsid w:val="00060889"/>
    <w:rsid w:val="0006100B"/>
    <w:rsid w:val="000620FD"/>
    <w:rsid w:val="0006369E"/>
    <w:rsid w:val="0006617F"/>
    <w:rsid w:val="000707E4"/>
    <w:rsid w:val="0007082D"/>
    <w:rsid w:val="00071644"/>
    <w:rsid w:val="0007380E"/>
    <w:rsid w:val="00074377"/>
    <w:rsid w:val="00074AD5"/>
    <w:rsid w:val="00075CA2"/>
    <w:rsid w:val="00077BE1"/>
    <w:rsid w:val="00077FBC"/>
    <w:rsid w:val="00080910"/>
    <w:rsid w:val="00080B5D"/>
    <w:rsid w:val="00081650"/>
    <w:rsid w:val="0008364C"/>
    <w:rsid w:val="00083A8D"/>
    <w:rsid w:val="00083F61"/>
    <w:rsid w:val="00086E3A"/>
    <w:rsid w:val="0009248D"/>
    <w:rsid w:val="000937A6"/>
    <w:rsid w:val="0009457A"/>
    <w:rsid w:val="000949EE"/>
    <w:rsid w:val="000A0EE6"/>
    <w:rsid w:val="000A269D"/>
    <w:rsid w:val="000A49FB"/>
    <w:rsid w:val="000A4E42"/>
    <w:rsid w:val="000A77AC"/>
    <w:rsid w:val="000A7A08"/>
    <w:rsid w:val="000B09B5"/>
    <w:rsid w:val="000B1B3E"/>
    <w:rsid w:val="000B6A81"/>
    <w:rsid w:val="000B6B60"/>
    <w:rsid w:val="000C0A86"/>
    <w:rsid w:val="000C0E9D"/>
    <w:rsid w:val="000C24B2"/>
    <w:rsid w:val="000C364B"/>
    <w:rsid w:val="000C3A28"/>
    <w:rsid w:val="000C4462"/>
    <w:rsid w:val="000C5D28"/>
    <w:rsid w:val="000C5F99"/>
    <w:rsid w:val="000C6AC1"/>
    <w:rsid w:val="000C6C2A"/>
    <w:rsid w:val="000D08BB"/>
    <w:rsid w:val="000D1342"/>
    <w:rsid w:val="000D2ECE"/>
    <w:rsid w:val="000D353B"/>
    <w:rsid w:val="000D4566"/>
    <w:rsid w:val="000D47EE"/>
    <w:rsid w:val="000D4EBA"/>
    <w:rsid w:val="000D527B"/>
    <w:rsid w:val="000D56EE"/>
    <w:rsid w:val="000D7FC2"/>
    <w:rsid w:val="000E0705"/>
    <w:rsid w:val="000E1C5D"/>
    <w:rsid w:val="000E2F0F"/>
    <w:rsid w:val="000E34A1"/>
    <w:rsid w:val="000E39D1"/>
    <w:rsid w:val="000E4C5F"/>
    <w:rsid w:val="000E5A64"/>
    <w:rsid w:val="000E608E"/>
    <w:rsid w:val="000E6276"/>
    <w:rsid w:val="000E6315"/>
    <w:rsid w:val="000E66DD"/>
    <w:rsid w:val="000E7256"/>
    <w:rsid w:val="000E75EF"/>
    <w:rsid w:val="000F1C68"/>
    <w:rsid w:val="000F2540"/>
    <w:rsid w:val="000F5D2A"/>
    <w:rsid w:val="000F6916"/>
    <w:rsid w:val="000F7E81"/>
    <w:rsid w:val="001000B4"/>
    <w:rsid w:val="001014D9"/>
    <w:rsid w:val="00101C68"/>
    <w:rsid w:val="0010224F"/>
    <w:rsid w:val="0010281B"/>
    <w:rsid w:val="001039A2"/>
    <w:rsid w:val="00103E9A"/>
    <w:rsid w:val="00104A0C"/>
    <w:rsid w:val="00105405"/>
    <w:rsid w:val="001055CA"/>
    <w:rsid w:val="00105804"/>
    <w:rsid w:val="001059D8"/>
    <w:rsid w:val="00106ECD"/>
    <w:rsid w:val="00107072"/>
    <w:rsid w:val="00107415"/>
    <w:rsid w:val="001074A2"/>
    <w:rsid w:val="00110F74"/>
    <w:rsid w:val="001112EC"/>
    <w:rsid w:val="00111384"/>
    <w:rsid w:val="00111420"/>
    <w:rsid w:val="00111CD9"/>
    <w:rsid w:val="00112C46"/>
    <w:rsid w:val="001134C5"/>
    <w:rsid w:val="00113502"/>
    <w:rsid w:val="001145C9"/>
    <w:rsid w:val="00115084"/>
    <w:rsid w:val="0011647F"/>
    <w:rsid w:val="00116AB5"/>
    <w:rsid w:val="001203EE"/>
    <w:rsid w:val="001214C7"/>
    <w:rsid w:val="001221C7"/>
    <w:rsid w:val="00122A42"/>
    <w:rsid w:val="00123D72"/>
    <w:rsid w:val="001245CC"/>
    <w:rsid w:val="001254B3"/>
    <w:rsid w:val="001254DA"/>
    <w:rsid w:val="001269A3"/>
    <w:rsid w:val="0012714E"/>
    <w:rsid w:val="00127346"/>
    <w:rsid w:val="001276FD"/>
    <w:rsid w:val="00131EF9"/>
    <w:rsid w:val="001348A4"/>
    <w:rsid w:val="00135D20"/>
    <w:rsid w:val="00135F30"/>
    <w:rsid w:val="0013681F"/>
    <w:rsid w:val="00137F25"/>
    <w:rsid w:val="001412DD"/>
    <w:rsid w:val="00141D8B"/>
    <w:rsid w:val="001423DB"/>
    <w:rsid w:val="00144923"/>
    <w:rsid w:val="0014701D"/>
    <w:rsid w:val="0014715A"/>
    <w:rsid w:val="001471D8"/>
    <w:rsid w:val="00147330"/>
    <w:rsid w:val="00147CCA"/>
    <w:rsid w:val="001521AF"/>
    <w:rsid w:val="00154D0E"/>
    <w:rsid w:val="0015504E"/>
    <w:rsid w:val="00155161"/>
    <w:rsid w:val="00155620"/>
    <w:rsid w:val="00156467"/>
    <w:rsid w:val="00161623"/>
    <w:rsid w:val="0016221E"/>
    <w:rsid w:val="00162AC9"/>
    <w:rsid w:val="001631F6"/>
    <w:rsid w:val="0016339F"/>
    <w:rsid w:val="00163DBB"/>
    <w:rsid w:val="00166522"/>
    <w:rsid w:val="001670BC"/>
    <w:rsid w:val="00167639"/>
    <w:rsid w:val="00167F77"/>
    <w:rsid w:val="00170634"/>
    <w:rsid w:val="00170B76"/>
    <w:rsid w:val="0017296A"/>
    <w:rsid w:val="00172CDE"/>
    <w:rsid w:val="001764F7"/>
    <w:rsid w:val="00177E75"/>
    <w:rsid w:val="00180BC1"/>
    <w:rsid w:val="0018276A"/>
    <w:rsid w:val="00182BD1"/>
    <w:rsid w:val="00182D5F"/>
    <w:rsid w:val="00182EA9"/>
    <w:rsid w:val="00184F09"/>
    <w:rsid w:val="00184F8E"/>
    <w:rsid w:val="00185084"/>
    <w:rsid w:val="001907C7"/>
    <w:rsid w:val="00190985"/>
    <w:rsid w:val="00191779"/>
    <w:rsid w:val="00191DE2"/>
    <w:rsid w:val="00192EC4"/>
    <w:rsid w:val="001938F4"/>
    <w:rsid w:val="00195729"/>
    <w:rsid w:val="001A1A2B"/>
    <w:rsid w:val="001A24BB"/>
    <w:rsid w:val="001A32F0"/>
    <w:rsid w:val="001A49E9"/>
    <w:rsid w:val="001A4EF1"/>
    <w:rsid w:val="001A53F2"/>
    <w:rsid w:val="001A592D"/>
    <w:rsid w:val="001A7B6E"/>
    <w:rsid w:val="001B0473"/>
    <w:rsid w:val="001B0ACC"/>
    <w:rsid w:val="001B0C84"/>
    <w:rsid w:val="001B42D6"/>
    <w:rsid w:val="001B4675"/>
    <w:rsid w:val="001B47FD"/>
    <w:rsid w:val="001B4A72"/>
    <w:rsid w:val="001B4E6C"/>
    <w:rsid w:val="001B51E5"/>
    <w:rsid w:val="001B5443"/>
    <w:rsid w:val="001B5A47"/>
    <w:rsid w:val="001B64BB"/>
    <w:rsid w:val="001C0136"/>
    <w:rsid w:val="001C0FCC"/>
    <w:rsid w:val="001C13B7"/>
    <w:rsid w:val="001C1D27"/>
    <w:rsid w:val="001C2C78"/>
    <w:rsid w:val="001C3165"/>
    <w:rsid w:val="001C37AE"/>
    <w:rsid w:val="001C53E9"/>
    <w:rsid w:val="001C63A8"/>
    <w:rsid w:val="001C6DBF"/>
    <w:rsid w:val="001C78EE"/>
    <w:rsid w:val="001D10D6"/>
    <w:rsid w:val="001D153C"/>
    <w:rsid w:val="001D1A7F"/>
    <w:rsid w:val="001D1E0C"/>
    <w:rsid w:val="001D4ECB"/>
    <w:rsid w:val="001D538C"/>
    <w:rsid w:val="001D5D8C"/>
    <w:rsid w:val="001D6A3D"/>
    <w:rsid w:val="001D6AB3"/>
    <w:rsid w:val="001D73EE"/>
    <w:rsid w:val="001D7C39"/>
    <w:rsid w:val="001D7DDA"/>
    <w:rsid w:val="001E2658"/>
    <w:rsid w:val="001E26D6"/>
    <w:rsid w:val="001E53B3"/>
    <w:rsid w:val="001E564A"/>
    <w:rsid w:val="001E5E21"/>
    <w:rsid w:val="001E64A1"/>
    <w:rsid w:val="001E6563"/>
    <w:rsid w:val="001E73AE"/>
    <w:rsid w:val="001F0890"/>
    <w:rsid w:val="001F0BF8"/>
    <w:rsid w:val="001F28C7"/>
    <w:rsid w:val="001F3B05"/>
    <w:rsid w:val="001F3E06"/>
    <w:rsid w:val="001F3E07"/>
    <w:rsid w:val="001F4F3D"/>
    <w:rsid w:val="001F69B1"/>
    <w:rsid w:val="001F71E0"/>
    <w:rsid w:val="00200592"/>
    <w:rsid w:val="0020196F"/>
    <w:rsid w:val="00202EAD"/>
    <w:rsid w:val="00203A39"/>
    <w:rsid w:val="0020421F"/>
    <w:rsid w:val="0020462B"/>
    <w:rsid w:val="002049F1"/>
    <w:rsid w:val="0020524D"/>
    <w:rsid w:val="00207264"/>
    <w:rsid w:val="0020767C"/>
    <w:rsid w:val="00210D27"/>
    <w:rsid w:val="0021345C"/>
    <w:rsid w:val="00214F12"/>
    <w:rsid w:val="002169CF"/>
    <w:rsid w:val="00220EDD"/>
    <w:rsid w:val="00221007"/>
    <w:rsid w:val="00222289"/>
    <w:rsid w:val="002225D8"/>
    <w:rsid w:val="00222E14"/>
    <w:rsid w:val="00223E5A"/>
    <w:rsid w:val="00225218"/>
    <w:rsid w:val="002266B4"/>
    <w:rsid w:val="00226823"/>
    <w:rsid w:val="0022683F"/>
    <w:rsid w:val="00227101"/>
    <w:rsid w:val="00230DC9"/>
    <w:rsid w:val="002319E4"/>
    <w:rsid w:val="002320EE"/>
    <w:rsid w:val="00233205"/>
    <w:rsid w:val="002335CD"/>
    <w:rsid w:val="00233CDE"/>
    <w:rsid w:val="00234E4F"/>
    <w:rsid w:val="002353E3"/>
    <w:rsid w:val="00236A89"/>
    <w:rsid w:val="002372A2"/>
    <w:rsid w:val="00237E52"/>
    <w:rsid w:val="002403FD"/>
    <w:rsid w:val="00241078"/>
    <w:rsid w:val="00242C69"/>
    <w:rsid w:val="00243339"/>
    <w:rsid w:val="00244E86"/>
    <w:rsid w:val="0024532D"/>
    <w:rsid w:val="00246FA2"/>
    <w:rsid w:val="002476AB"/>
    <w:rsid w:val="00247827"/>
    <w:rsid w:val="0025011B"/>
    <w:rsid w:val="00250265"/>
    <w:rsid w:val="00251A26"/>
    <w:rsid w:val="00251BAA"/>
    <w:rsid w:val="0025295B"/>
    <w:rsid w:val="00252EBB"/>
    <w:rsid w:val="002532EB"/>
    <w:rsid w:val="00253499"/>
    <w:rsid w:val="00254A44"/>
    <w:rsid w:val="002555BB"/>
    <w:rsid w:val="0025685C"/>
    <w:rsid w:val="00256CEE"/>
    <w:rsid w:val="00257230"/>
    <w:rsid w:val="00260E61"/>
    <w:rsid w:val="00261BFD"/>
    <w:rsid w:val="002623FC"/>
    <w:rsid w:val="002626BF"/>
    <w:rsid w:val="00262FE3"/>
    <w:rsid w:val="0026348C"/>
    <w:rsid w:val="00265716"/>
    <w:rsid w:val="00265BF3"/>
    <w:rsid w:val="00265F0A"/>
    <w:rsid w:val="00266EE1"/>
    <w:rsid w:val="00267366"/>
    <w:rsid w:val="002675C4"/>
    <w:rsid w:val="0026790C"/>
    <w:rsid w:val="00270FE1"/>
    <w:rsid w:val="002713FE"/>
    <w:rsid w:val="002725A9"/>
    <w:rsid w:val="00272CF7"/>
    <w:rsid w:val="002730A1"/>
    <w:rsid w:val="0027391D"/>
    <w:rsid w:val="00273CFD"/>
    <w:rsid w:val="00275FA6"/>
    <w:rsid w:val="002767D7"/>
    <w:rsid w:val="00277CEF"/>
    <w:rsid w:val="00280932"/>
    <w:rsid w:val="002809BD"/>
    <w:rsid w:val="00280AC7"/>
    <w:rsid w:val="00280E83"/>
    <w:rsid w:val="002819B3"/>
    <w:rsid w:val="00281A0D"/>
    <w:rsid w:val="0028424B"/>
    <w:rsid w:val="002846BF"/>
    <w:rsid w:val="002847D7"/>
    <w:rsid w:val="00284852"/>
    <w:rsid w:val="002856FD"/>
    <w:rsid w:val="00286416"/>
    <w:rsid w:val="002869A1"/>
    <w:rsid w:val="00290F79"/>
    <w:rsid w:val="002919B2"/>
    <w:rsid w:val="00291EA7"/>
    <w:rsid w:val="00292EBC"/>
    <w:rsid w:val="00294FF0"/>
    <w:rsid w:val="00295144"/>
    <w:rsid w:val="0029588C"/>
    <w:rsid w:val="00296BB3"/>
    <w:rsid w:val="002A00CF"/>
    <w:rsid w:val="002A02C3"/>
    <w:rsid w:val="002A054D"/>
    <w:rsid w:val="002A2D85"/>
    <w:rsid w:val="002A4720"/>
    <w:rsid w:val="002A5CEA"/>
    <w:rsid w:val="002A77B8"/>
    <w:rsid w:val="002A7B7D"/>
    <w:rsid w:val="002B244A"/>
    <w:rsid w:val="002B4CAB"/>
    <w:rsid w:val="002B56F8"/>
    <w:rsid w:val="002B5903"/>
    <w:rsid w:val="002B6646"/>
    <w:rsid w:val="002B6B39"/>
    <w:rsid w:val="002B7327"/>
    <w:rsid w:val="002B7824"/>
    <w:rsid w:val="002B7868"/>
    <w:rsid w:val="002B79E1"/>
    <w:rsid w:val="002C0514"/>
    <w:rsid w:val="002C06C5"/>
    <w:rsid w:val="002C0919"/>
    <w:rsid w:val="002C0B49"/>
    <w:rsid w:val="002C22F2"/>
    <w:rsid w:val="002C3DAE"/>
    <w:rsid w:val="002C58D5"/>
    <w:rsid w:val="002C663E"/>
    <w:rsid w:val="002C6CDD"/>
    <w:rsid w:val="002D10C3"/>
    <w:rsid w:val="002D2474"/>
    <w:rsid w:val="002D3144"/>
    <w:rsid w:val="002D47AC"/>
    <w:rsid w:val="002D47E8"/>
    <w:rsid w:val="002D4B26"/>
    <w:rsid w:val="002D6066"/>
    <w:rsid w:val="002D6372"/>
    <w:rsid w:val="002D690A"/>
    <w:rsid w:val="002D7105"/>
    <w:rsid w:val="002D795C"/>
    <w:rsid w:val="002E0417"/>
    <w:rsid w:val="002E24A5"/>
    <w:rsid w:val="002E2ADD"/>
    <w:rsid w:val="002E36C4"/>
    <w:rsid w:val="002E40FD"/>
    <w:rsid w:val="002E6BBD"/>
    <w:rsid w:val="002E6BCE"/>
    <w:rsid w:val="002E7F16"/>
    <w:rsid w:val="002F0204"/>
    <w:rsid w:val="002F08FD"/>
    <w:rsid w:val="002F0A17"/>
    <w:rsid w:val="002F0BC6"/>
    <w:rsid w:val="002F37CA"/>
    <w:rsid w:val="002F381E"/>
    <w:rsid w:val="002F4889"/>
    <w:rsid w:val="0030009A"/>
    <w:rsid w:val="003006F6"/>
    <w:rsid w:val="00301459"/>
    <w:rsid w:val="00301801"/>
    <w:rsid w:val="003018B7"/>
    <w:rsid w:val="00302531"/>
    <w:rsid w:val="00302A3D"/>
    <w:rsid w:val="00302F7A"/>
    <w:rsid w:val="003032E1"/>
    <w:rsid w:val="00303D4A"/>
    <w:rsid w:val="00304959"/>
    <w:rsid w:val="00305196"/>
    <w:rsid w:val="003051B7"/>
    <w:rsid w:val="00305D5A"/>
    <w:rsid w:val="003105B3"/>
    <w:rsid w:val="0031157A"/>
    <w:rsid w:val="00313181"/>
    <w:rsid w:val="00313354"/>
    <w:rsid w:val="00316945"/>
    <w:rsid w:val="00316D75"/>
    <w:rsid w:val="00316F8B"/>
    <w:rsid w:val="0031778A"/>
    <w:rsid w:val="00317A50"/>
    <w:rsid w:val="00320730"/>
    <w:rsid w:val="0032075F"/>
    <w:rsid w:val="00323F2A"/>
    <w:rsid w:val="00330E30"/>
    <w:rsid w:val="003310C5"/>
    <w:rsid w:val="003311E1"/>
    <w:rsid w:val="0033188C"/>
    <w:rsid w:val="00332106"/>
    <w:rsid w:val="00332A6B"/>
    <w:rsid w:val="0033463E"/>
    <w:rsid w:val="003350F0"/>
    <w:rsid w:val="0033794C"/>
    <w:rsid w:val="003401E0"/>
    <w:rsid w:val="00340466"/>
    <w:rsid w:val="0034087D"/>
    <w:rsid w:val="00341AB0"/>
    <w:rsid w:val="00341DA5"/>
    <w:rsid w:val="00342F24"/>
    <w:rsid w:val="00343806"/>
    <w:rsid w:val="00344F65"/>
    <w:rsid w:val="0034536B"/>
    <w:rsid w:val="003460FC"/>
    <w:rsid w:val="00346C34"/>
    <w:rsid w:val="003528E9"/>
    <w:rsid w:val="00353685"/>
    <w:rsid w:val="003548EF"/>
    <w:rsid w:val="00354CDD"/>
    <w:rsid w:val="0035586E"/>
    <w:rsid w:val="00355C6C"/>
    <w:rsid w:val="003561A4"/>
    <w:rsid w:val="0035757D"/>
    <w:rsid w:val="00357B39"/>
    <w:rsid w:val="003607BC"/>
    <w:rsid w:val="0036131F"/>
    <w:rsid w:val="003615BC"/>
    <w:rsid w:val="003616AC"/>
    <w:rsid w:val="003644F9"/>
    <w:rsid w:val="003659EC"/>
    <w:rsid w:val="003665B7"/>
    <w:rsid w:val="003674A0"/>
    <w:rsid w:val="00367F26"/>
    <w:rsid w:val="003707FB"/>
    <w:rsid w:val="0037131C"/>
    <w:rsid w:val="00371BA2"/>
    <w:rsid w:val="00372106"/>
    <w:rsid w:val="00372663"/>
    <w:rsid w:val="0037321A"/>
    <w:rsid w:val="00373D58"/>
    <w:rsid w:val="003756D1"/>
    <w:rsid w:val="00375A9E"/>
    <w:rsid w:val="00375B6E"/>
    <w:rsid w:val="00375CAC"/>
    <w:rsid w:val="003764B9"/>
    <w:rsid w:val="00376899"/>
    <w:rsid w:val="00376F3C"/>
    <w:rsid w:val="0038135D"/>
    <w:rsid w:val="0038153B"/>
    <w:rsid w:val="00381E85"/>
    <w:rsid w:val="00385373"/>
    <w:rsid w:val="003857FF"/>
    <w:rsid w:val="00385A08"/>
    <w:rsid w:val="00385E01"/>
    <w:rsid w:val="00386320"/>
    <w:rsid w:val="00386613"/>
    <w:rsid w:val="00386986"/>
    <w:rsid w:val="00390274"/>
    <w:rsid w:val="0039056B"/>
    <w:rsid w:val="00391723"/>
    <w:rsid w:val="00391AA3"/>
    <w:rsid w:val="0039233F"/>
    <w:rsid w:val="00395A42"/>
    <w:rsid w:val="003A0731"/>
    <w:rsid w:val="003A0B35"/>
    <w:rsid w:val="003A1026"/>
    <w:rsid w:val="003A1BC5"/>
    <w:rsid w:val="003A47C1"/>
    <w:rsid w:val="003A5663"/>
    <w:rsid w:val="003A64EA"/>
    <w:rsid w:val="003A7D7E"/>
    <w:rsid w:val="003B0CC9"/>
    <w:rsid w:val="003B137D"/>
    <w:rsid w:val="003B2C5B"/>
    <w:rsid w:val="003B3388"/>
    <w:rsid w:val="003B49ED"/>
    <w:rsid w:val="003B4DC9"/>
    <w:rsid w:val="003B60C4"/>
    <w:rsid w:val="003B66C0"/>
    <w:rsid w:val="003B6EE7"/>
    <w:rsid w:val="003B7AAE"/>
    <w:rsid w:val="003C01B6"/>
    <w:rsid w:val="003C1CDE"/>
    <w:rsid w:val="003C36C4"/>
    <w:rsid w:val="003C39AF"/>
    <w:rsid w:val="003C40F0"/>
    <w:rsid w:val="003C576F"/>
    <w:rsid w:val="003C67B9"/>
    <w:rsid w:val="003D1229"/>
    <w:rsid w:val="003D1419"/>
    <w:rsid w:val="003D1480"/>
    <w:rsid w:val="003D1743"/>
    <w:rsid w:val="003D2D25"/>
    <w:rsid w:val="003D4549"/>
    <w:rsid w:val="003D4C5C"/>
    <w:rsid w:val="003D5BDA"/>
    <w:rsid w:val="003D62EB"/>
    <w:rsid w:val="003D6CC1"/>
    <w:rsid w:val="003E18B0"/>
    <w:rsid w:val="003E1F41"/>
    <w:rsid w:val="003E2C81"/>
    <w:rsid w:val="003E3047"/>
    <w:rsid w:val="003E3FFE"/>
    <w:rsid w:val="003E4B88"/>
    <w:rsid w:val="003E5D39"/>
    <w:rsid w:val="003E7820"/>
    <w:rsid w:val="003F161F"/>
    <w:rsid w:val="003F194C"/>
    <w:rsid w:val="003F19B6"/>
    <w:rsid w:val="003F20CD"/>
    <w:rsid w:val="003F3300"/>
    <w:rsid w:val="003F33B5"/>
    <w:rsid w:val="003F3B26"/>
    <w:rsid w:val="003F4CFA"/>
    <w:rsid w:val="003F5ECD"/>
    <w:rsid w:val="0040007B"/>
    <w:rsid w:val="00400460"/>
    <w:rsid w:val="00401D6F"/>
    <w:rsid w:val="00401F80"/>
    <w:rsid w:val="00402125"/>
    <w:rsid w:val="0040398E"/>
    <w:rsid w:val="00404294"/>
    <w:rsid w:val="00404706"/>
    <w:rsid w:val="00405670"/>
    <w:rsid w:val="00405CEA"/>
    <w:rsid w:val="004065C8"/>
    <w:rsid w:val="0041250F"/>
    <w:rsid w:val="004147A5"/>
    <w:rsid w:val="00414B4F"/>
    <w:rsid w:val="00414BFE"/>
    <w:rsid w:val="00416573"/>
    <w:rsid w:val="00417A83"/>
    <w:rsid w:val="00417A8F"/>
    <w:rsid w:val="00417CD1"/>
    <w:rsid w:val="004207C7"/>
    <w:rsid w:val="00423047"/>
    <w:rsid w:val="004237DB"/>
    <w:rsid w:val="0042497E"/>
    <w:rsid w:val="004250DE"/>
    <w:rsid w:val="0042594E"/>
    <w:rsid w:val="004271C4"/>
    <w:rsid w:val="00427EA8"/>
    <w:rsid w:val="00430385"/>
    <w:rsid w:val="0043176A"/>
    <w:rsid w:val="004338A8"/>
    <w:rsid w:val="00436B64"/>
    <w:rsid w:val="004408A4"/>
    <w:rsid w:val="00440BD2"/>
    <w:rsid w:val="0044221F"/>
    <w:rsid w:val="0044395F"/>
    <w:rsid w:val="00443D28"/>
    <w:rsid w:val="00444C2D"/>
    <w:rsid w:val="00444C8D"/>
    <w:rsid w:val="00444DAE"/>
    <w:rsid w:val="00445622"/>
    <w:rsid w:val="00445E7C"/>
    <w:rsid w:val="00447AEA"/>
    <w:rsid w:val="00447BD6"/>
    <w:rsid w:val="00447E78"/>
    <w:rsid w:val="00450069"/>
    <w:rsid w:val="004502EB"/>
    <w:rsid w:val="004507B1"/>
    <w:rsid w:val="00452051"/>
    <w:rsid w:val="00452408"/>
    <w:rsid w:val="00453C2A"/>
    <w:rsid w:val="00453C88"/>
    <w:rsid w:val="00454A8D"/>
    <w:rsid w:val="00454D59"/>
    <w:rsid w:val="00455CFE"/>
    <w:rsid w:val="004618B5"/>
    <w:rsid w:val="004619F1"/>
    <w:rsid w:val="00462B8A"/>
    <w:rsid w:val="0046355E"/>
    <w:rsid w:val="004647C6"/>
    <w:rsid w:val="00465732"/>
    <w:rsid w:val="004701D9"/>
    <w:rsid w:val="004704E7"/>
    <w:rsid w:val="004705B4"/>
    <w:rsid w:val="0047074C"/>
    <w:rsid w:val="00470E5F"/>
    <w:rsid w:val="00470E90"/>
    <w:rsid w:val="00470EF1"/>
    <w:rsid w:val="0047273D"/>
    <w:rsid w:val="00472B00"/>
    <w:rsid w:val="00472E37"/>
    <w:rsid w:val="004732DD"/>
    <w:rsid w:val="00473377"/>
    <w:rsid w:val="00473605"/>
    <w:rsid w:val="00473F4D"/>
    <w:rsid w:val="00474050"/>
    <w:rsid w:val="00474BDF"/>
    <w:rsid w:val="00475714"/>
    <w:rsid w:val="004758A4"/>
    <w:rsid w:val="004805C3"/>
    <w:rsid w:val="00480C42"/>
    <w:rsid w:val="00480EBF"/>
    <w:rsid w:val="004822E4"/>
    <w:rsid w:val="0048407A"/>
    <w:rsid w:val="0048460F"/>
    <w:rsid w:val="00484D0F"/>
    <w:rsid w:val="00485756"/>
    <w:rsid w:val="00485A07"/>
    <w:rsid w:val="0048639A"/>
    <w:rsid w:val="00486507"/>
    <w:rsid w:val="00487517"/>
    <w:rsid w:val="004903C3"/>
    <w:rsid w:val="00495719"/>
    <w:rsid w:val="00495EA6"/>
    <w:rsid w:val="00496CCC"/>
    <w:rsid w:val="004973DE"/>
    <w:rsid w:val="00497F06"/>
    <w:rsid w:val="004A060C"/>
    <w:rsid w:val="004A065B"/>
    <w:rsid w:val="004A171E"/>
    <w:rsid w:val="004A1CC7"/>
    <w:rsid w:val="004A1E53"/>
    <w:rsid w:val="004A27A9"/>
    <w:rsid w:val="004A4B56"/>
    <w:rsid w:val="004A5247"/>
    <w:rsid w:val="004B0160"/>
    <w:rsid w:val="004B0C69"/>
    <w:rsid w:val="004B377E"/>
    <w:rsid w:val="004B3D65"/>
    <w:rsid w:val="004B5932"/>
    <w:rsid w:val="004B6A51"/>
    <w:rsid w:val="004B6F12"/>
    <w:rsid w:val="004B7774"/>
    <w:rsid w:val="004C2811"/>
    <w:rsid w:val="004C3938"/>
    <w:rsid w:val="004C4C73"/>
    <w:rsid w:val="004C4CA6"/>
    <w:rsid w:val="004C52FC"/>
    <w:rsid w:val="004C629D"/>
    <w:rsid w:val="004C6498"/>
    <w:rsid w:val="004C734C"/>
    <w:rsid w:val="004C7E2B"/>
    <w:rsid w:val="004D0B9D"/>
    <w:rsid w:val="004D16D2"/>
    <w:rsid w:val="004D1F38"/>
    <w:rsid w:val="004D235D"/>
    <w:rsid w:val="004D33BE"/>
    <w:rsid w:val="004D4907"/>
    <w:rsid w:val="004D4FB8"/>
    <w:rsid w:val="004D59BF"/>
    <w:rsid w:val="004D5E12"/>
    <w:rsid w:val="004E113E"/>
    <w:rsid w:val="004E2D2F"/>
    <w:rsid w:val="004E309F"/>
    <w:rsid w:val="004E3765"/>
    <w:rsid w:val="004E4B55"/>
    <w:rsid w:val="004E4C15"/>
    <w:rsid w:val="004E5170"/>
    <w:rsid w:val="004E5C72"/>
    <w:rsid w:val="004E65D0"/>
    <w:rsid w:val="004E68EC"/>
    <w:rsid w:val="004E6E8E"/>
    <w:rsid w:val="004E7A71"/>
    <w:rsid w:val="004E7FB7"/>
    <w:rsid w:val="004F0162"/>
    <w:rsid w:val="004F0E60"/>
    <w:rsid w:val="004F13BD"/>
    <w:rsid w:val="004F14DE"/>
    <w:rsid w:val="004F2C4F"/>
    <w:rsid w:val="004F465A"/>
    <w:rsid w:val="004F4E56"/>
    <w:rsid w:val="004F5219"/>
    <w:rsid w:val="004F5EE1"/>
    <w:rsid w:val="004F658F"/>
    <w:rsid w:val="00500BFB"/>
    <w:rsid w:val="00502D64"/>
    <w:rsid w:val="0050439C"/>
    <w:rsid w:val="005046D1"/>
    <w:rsid w:val="00504B98"/>
    <w:rsid w:val="00505109"/>
    <w:rsid w:val="00505674"/>
    <w:rsid w:val="0050640E"/>
    <w:rsid w:val="005111FF"/>
    <w:rsid w:val="005137F5"/>
    <w:rsid w:val="00514D07"/>
    <w:rsid w:val="005155CC"/>
    <w:rsid w:val="005155FE"/>
    <w:rsid w:val="005162EE"/>
    <w:rsid w:val="00516F4A"/>
    <w:rsid w:val="0051703F"/>
    <w:rsid w:val="00520015"/>
    <w:rsid w:val="00520810"/>
    <w:rsid w:val="005208B0"/>
    <w:rsid w:val="0052185F"/>
    <w:rsid w:val="0052245F"/>
    <w:rsid w:val="005226A5"/>
    <w:rsid w:val="0052301C"/>
    <w:rsid w:val="00523BBA"/>
    <w:rsid w:val="00524B1C"/>
    <w:rsid w:val="00524EDB"/>
    <w:rsid w:val="00526877"/>
    <w:rsid w:val="00526B07"/>
    <w:rsid w:val="00526EC5"/>
    <w:rsid w:val="005270A6"/>
    <w:rsid w:val="005273C9"/>
    <w:rsid w:val="00527DC3"/>
    <w:rsid w:val="00530111"/>
    <w:rsid w:val="00530274"/>
    <w:rsid w:val="005310DE"/>
    <w:rsid w:val="00537385"/>
    <w:rsid w:val="005378F8"/>
    <w:rsid w:val="00537EC9"/>
    <w:rsid w:val="00540905"/>
    <w:rsid w:val="00540CE4"/>
    <w:rsid w:val="0054128A"/>
    <w:rsid w:val="005413A6"/>
    <w:rsid w:val="00542A7C"/>
    <w:rsid w:val="00543358"/>
    <w:rsid w:val="00545113"/>
    <w:rsid w:val="00545C4A"/>
    <w:rsid w:val="00546179"/>
    <w:rsid w:val="005462D8"/>
    <w:rsid w:val="00546EA4"/>
    <w:rsid w:val="00551838"/>
    <w:rsid w:val="00551FDD"/>
    <w:rsid w:val="00552C85"/>
    <w:rsid w:val="00552DFC"/>
    <w:rsid w:val="005534E0"/>
    <w:rsid w:val="00553F29"/>
    <w:rsid w:val="00556DC0"/>
    <w:rsid w:val="00561D60"/>
    <w:rsid w:val="00563118"/>
    <w:rsid w:val="005635F0"/>
    <w:rsid w:val="0056773A"/>
    <w:rsid w:val="005711B6"/>
    <w:rsid w:val="00572BC4"/>
    <w:rsid w:val="005741E5"/>
    <w:rsid w:val="005754F2"/>
    <w:rsid w:val="0057623C"/>
    <w:rsid w:val="00577671"/>
    <w:rsid w:val="005822B9"/>
    <w:rsid w:val="0058334B"/>
    <w:rsid w:val="00583F96"/>
    <w:rsid w:val="00584A3D"/>
    <w:rsid w:val="00585891"/>
    <w:rsid w:val="00585F46"/>
    <w:rsid w:val="00585F72"/>
    <w:rsid w:val="005861E2"/>
    <w:rsid w:val="00586326"/>
    <w:rsid w:val="005871D5"/>
    <w:rsid w:val="005873DF"/>
    <w:rsid w:val="005879B8"/>
    <w:rsid w:val="00590E8D"/>
    <w:rsid w:val="00592843"/>
    <w:rsid w:val="00592EF1"/>
    <w:rsid w:val="00592FD4"/>
    <w:rsid w:val="005938E1"/>
    <w:rsid w:val="005959D4"/>
    <w:rsid w:val="00595FD8"/>
    <w:rsid w:val="005962A9"/>
    <w:rsid w:val="005A0D43"/>
    <w:rsid w:val="005A146B"/>
    <w:rsid w:val="005A219A"/>
    <w:rsid w:val="005A2296"/>
    <w:rsid w:val="005A2B72"/>
    <w:rsid w:val="005A2DFD"/>
    <w:rsid w:val="005A3C02"/>
    <w:rsid w:val="005A424B"/>
    <w:rsid w:val="005A463F"/>
    <w:rsid w:val="005A4F7C"/>
    <w:rsid w:val="005A5F5C"/>
    <w:rsid w:val="005A73B5"/>
    <w:rsid w:val="005B0463"/>
    <w:rsid w:val="005B0758"/>
    <w:rsid w:val="005B2A3E"/>
    <w:rsid w:val="005B3016"/>
    <w:rsid w:val="005B40DC"/>
    <w:rsid w:val="005B497C"/>
    <w:rsid w:val="005B6052"/>
    <w:rsid w:val="005B6A94"/>
    <w:rsid w:val="005B74B6"/>
    <w:rsid w:val="005C037A"/>
    <w:rsid w:val="005C048D"/>
    <w:rsid w:val="005C1583"/>
    <w:rsid w:val="005C21A5"/>
    <w:rsid w:val="005C2DBE"/>
    <w:rsid w:val="005C354B"/>
    <w:rsid w:val="005C42E2"/>
    <w:rsid w:val="005C4536"/>
    <w:rsid w:val="005C4A56"/>
    <w:rsid w:val="005C4C26"/>
    <w:rsid w:val="005C594B"/>
    <w:rsid w:val="005C5CCE"/>
    <w:rsid w:val="005C788D"/>
    <w:rsid w:val="005D01EE"/>
    <w:rsid w:val="005D052A"/>
    <w:rsid w:val="005D05B0"/>
    <w:rsid w:val="005D08F5"/>
    <w:rsid w:val="005D1241"/>
    <w:rsid w:val="005D21D0"/>
    <w:rsid w:val="005D6048"/>
    <w:rsid w:val="005D6133"/>
    <w:rsid w:val="005D616A"/>
    <w:rsid w:val="005D61EC"/>
    <w:rsid w:val="005D7E7C"/>
    <w:rsid w:val="005E080E"/>
    <w:rsid w:val="005E0E42"/>
    <w:rsid w:val="005E1F03"/>
    <w:rsid w:val="005E2847"/>
    <w:rsid w:val="005E2922"/>
    <w:rsid w:val="005E339C"/>
    <w:rsid w:val="005E3600"/>
    <w:rsid w:val="005E58C7"/>
    <w:rsid w:val="005E6649"/>
    <w:rsid w:val="005E6B08"/>
    <w:rsid w:val="005E6F3A"/>
    <w:rsid w:val="005E7E50"/>
    <w:rsid w:val="005F0979"/>
    <w:rsid w:val="005F27F5"/>
    <w:rsid w:val="005F36F1"/>
    <w:rsid w:val="005F40E5"/>
    <w:rsid w:val="005F6598"/>
    <w:rsid w:val="0060061F"/>
    <w:rsid w:val="006008DA"/>
    <w:rsid w:val="00600D2E"/>
    <w:rsid w:val="006018D8"/>
    <w:rsid w:val="00601CFD"/>
    <w:rsid w:val="00602882"/>
    <w:rsid w:val="006029E8"/>
    <w:rsid w:val="00603865"/>
    <w:rsid w:val="00603A98"/>
    <w:rsid w:val="00603ACE"/>
    <w:rsid w:val="006040E2"/>
    <w:rsid w:val="00604618"/>
    <w:rsid w:val="00607B06"/>
    <w:rsid w:val="00611782"/>
    <w:rsid w:val="00612724"/>
    <w:rsid w:val="0061511B"/>
    <w:rsid w:val="0062154C"/>
    <w:rsid w:val="006215DE"/>
    <w:rsid w:val="00621700"/>
    <w:rsid w:val="00622CD3"/>
    <w:rsid w:val="00623059"/>
    <w:rsid w:val="0062465F"/>
    <w:rsid w:val="00625406"/>
    <w:rsid w:val="00625BF7"/>
    <w:rsid w:val="006266FC"/>
    <w:rsid w:val="006274A2"/>
    <w:rsid w:val="00627EBB"/>
    <w:rsid w:val="0063034F"/>
    <w:rsid w:val="0063093A"/>
    <w:rsid w:val="006309E7"/>
    <w:rsid w:val="00631737"/>
    <w:rsid w:val="006334BB"/>
    <w:rsid w:val="006334D6"/>
    <w:rsid w:val="0063356E"/>
    <w:rsid w:val="00634C46"/>
    <w:rsid w:val="006352FD"/>
    <w:rsid w:val="00635525"/>
    <w:rsid w:val="00635568"/>
    <w:rsid w:val="00635CC6"/>
    <w:rsid w:val="00637F42"/>
    <w:rsid w:val="006419F6"/>
    <w:rsid w:val="00641C2F"/>
    <w:rsid w:val="00642BC7"/>
    <w:rsid w:val="00642E58"/>
    <w:rsid w:val="00643287"/>
    <w:rsid w:val="006445C6"/>
    <w:rsid w:val="006472E2"/>
    <w:rsid w:val="00647E06"/>
    <w:rsid w:val="00650869"/>
    <w:rsid w:val="00651CCE"/>
    <w:rsid w:val="0065204B"/>
    <w:rsid w:val="00652594"/>
    <w:rsid w:val="00652A5F"/>
    <w:rsid w:val="006531D5"/>
    <w:rsid w:val="00653F91"/>
    <w:rsid w:val="00655B59"/>
    <w:rsid w:val="006569DE"/>
    <w:rsid w:val="00656C39"/>
    <w:rsid w:val="006572D5"/>
    <w:rsid w:val="0065765D"/>
    <w:rsid w:val="0066030E"/>
    <w:rsid w:val="00660A85"/>
    <w:rsid w:val="006616EB"/>
    <w:rsid w:val="0066192C"/>
    <w:rsid w:val="006631C4"/>
    <w:rsid w:val="00664E77"/>
    <w:rsid w:val="006658AA"/>
    <w:rsid w:val="006660AC"/>
    <w:rsid w:val="00666705"/>
    <w:rsid w:val="00666A20"/>
    <w:rsid w:val="00666B76"/>
    <w:rsid w:val="006678E4"/>
    <w:rsid w:val="00671A1F"/>
    <w:rsid w:val="00672278"/>
    <w:rsid w:val="00672A45"/>
    <w:rsid w:val="0067344F"/>
    <w:rsid w:val="006737BF"/>
    <w:rsid w:val="00673C8E"/>
    <w:rsid w:val="00674DF8"/>
    <w:rsid w:val="006761AF"/>
    <w:rsid w:val="006764AD"/>
    <w:rsid w:val="00677178"/>
    <w:rsid w:val="00677286"/>
    <w:rsid w:val="0067773B"/>
    <w:rsid w:val="00677C05"/>
    <w:rsid w:val="00681895"/>
    <w:rsid w:val="00681950"/>
    <w:rsid w:val="006823D6"/>
    <w:rsid w:val="00683CD5"/>
    <w:rsid w:val="0068560D"/>
    <w:rsid w:val="00690314"/>
    <w:rsid w:val="00690A94"/>
    <w:rsid w:val="00692A09"/>
    <w:rsid w:val="00692D03"/>
    <w:rsid w:val="00693BF4"/>
    <w:rsid w:val="0069435C"/>
    <w:rsid w:val="006944AE"/>
    <w:rsid w:val="00694CE3"/>
    <w:rsid w:val="00696E8C"/>
    <w:rsid w:val="006976F5"/>
    <w:rsid w:val="00697762"/>
    <w:rsid w:val="006A0790"/>
    <w:rsid w:val="006A096F"/>
    <w:rsid w:val="006A1A6D"/>
    <w:rsid w:val="006A26A8"/>
    <w:rsid w:val="006A32F1"/>
    <w:rsid w:val="006A3DA6"/>
    <w:rsid w:val="006A3FDD"/>
    <w:rsid w:val="006A436F"/>
    <w:rsid w:val="006A4E6E"/>
    <w:rsid w:val="006A561C"/>
    <w:rsid w:val="006A5ABF"/>
    <w:rsid w:val="006A707A"/>
    <w:rsid w:val="006A74EB"/>
    <w:rsid w:val="006B3B24"/>
    <w:rsid w:val="006B54A8"/>
    <w:rsid w:val="006B5FE0"/>
    <w:rsid w:val="006B6BAC"/>
    <w:rsid w:val="006B7F6B"/>
    <w:rsid w:val="006C01F2"/>
    <w:rsid w:val="006C020A"/>
    <w:rsid w:val="006C127C"/>
    <w:rsid w:val="006C2541"/>
    <w:rsid w:val="006C2CE1"/>
    <w:rsid w:val="006C329C"/>
    <w:rsid w:val="006C3380"/>
    <w:rsid w:val="006C3440"/>
    <w:rsid w:val="006C38E0"/>
    <w:rsid w:val="006C5B50"/>
    <w:rsid w:val="006C60B4"/>
    <w:rsid w:val="006C60D9"/>
    <w:rsid w:val="006C6E84"/>
    <w:rsid w:val="006C7E7E"/>
    <w:rsid w:val="006D05CD"/>
    <w:rsid w:val="006D18DB"/>
    <w:rsid w:val="006D2F73"/>
    <w:rsid w:val="006D3030"/>
    <w:rsid w:val="006D44F6"/>
    <w:rsid w:val="006D4CCF"/>
    <w:rsid w:val="006D78BD"/>
    <w:rsid w:val="006D7DE1"/>
    <w:rsid w:val="006E019E"/>
    <w:rsid w:val="006E0A4F"/>
    <w:rsid w:val="006E213A"/>
    <w:rsid w:val="006E217A"/>
    <w:rsid w:val="006E27A5"/>
    <w:rsid w:val="006E2CD5"/>
    <w:rsid w:val="006E3354"/>
    <w:rsid w:val="006E3A0D"/>
    <w:rsid w:val="006E4167"/>
    <w:rsid w:val="006E4DC2"/>
    <w:rsid w:val="006E607E"/>
    <w:rsid w:val="006E69E7"/>
    <w:rsid w:val="006F13D9"/>
    <w:rsid w:val="006F14E5"/>
    <w:rsid w:val="006F388F"/>
    <w:rsid w:val="006F4B79"/>
    <w:rsid w:val="006F4DF9"/>
    <w:rsid w:val="006F63D4"/>
    <w:rsid w:val="006F6F9A"/>
    <w:rsid w:val="006F700E"/>
    <w:rsid w:val="006F73CB"/>
    <w:rsid w:val="006F7B24"/>
    <w:rsid w:val="00700EB1"/>
    <w:rsid w:val="0070134B"/>
    <w:rsid w:val="0070261C"/>
    <w:rsid w:val="00706E07"/>
    <w:rsid w:val="00710755"/>
    <w:rsid w:val="0071110F"/>
    <w:rsid w:val="00712BB8"/>
    <w:rsid w:val="007149A5"/>
    <w:rsid w:val="007155B8"/>
    <w:rsid w:val="007176D3"/>
    <w:rsid w:val="00717801"/>
    <w:rsid w:val="00720139"/>
    <w:rsid w:val="00724231"/>
    <w:rsid w:val="007247C0"/>
    <w:rsid w:val="007252BE"/>
    <w:rsid w:val="00725EFD"/>
    <w:rsid w:val="0072631D"/>
    <w:rsid w:val="007266A8"/>
    <w:rsid w:val="0072670E"/>
    <w:rsid w:val="007267C4"/>
    <w:rsid w:val="00726B73"/>
    <w:rsid w:val="00726ED9"/>
    <w:rsid w:val="007317F0"/>
    <w:rsid w:val="00731D9A"/>
    <w:rsid w:val="007339CC"/>
    <w:rsid w:val="00734584"/>
    <w:rsid w:val="00734A81"/>
    <w:rsid w:val="00734ABF"/>
    <w:rsid w:val="00734F5E"/>
    <w:rsid w:val="00735EAD"/>
    <w:rsid w:val="00736570"/>
    <w:rsid w:val="00736C17"/>
    <w:rsid w:val="007373CD"/>
    <w:rsid w:val="00737BD2"/>
    <w:rsid w:val="0074052C"/>
    <w:rsid w:val="0074070C"/>
    <w:rsid w:val="00741291"/>
    <w:rsid w:val="00741B52"/>
    <w:rsid w:val="00742047"/>
    <w:rsid w:val="0074213D"/>
    <w:rsid w:val="007437CA"/>
    <w:rsid w:val="007452A1"/>
    <w:rsid w:val="00745ABE"/>
    <w:rsid w:val="00745B15"/>
    <w:rsid w:val="00746607"/>
    <w:rsid w:val="00746888"/>
    <w:rsid w:val="0074697D"/>
    <w:rsid w:val="00746BED"/>
    <w:rsid w:val="007506BF"/>
    <w:rsid w:val="00751B43"/>
    <w:rsid w:val="00751D10"/>
    <w:rsid w:val="00754168"/>
    <w:rsid w:val="00755074"/>
    <w:rsid w:val="00755080"/>
    <w:rsid w:val="007563A9"/>
    <w:rsid w:val="0075666B"/>
    <w:rsid w:val="00756826"/>
    <w:rsid w:val="00760C44"/>
    <w:rsid w:val="007619C5"/>
    <w:rsid w:val="00762B48"/>
    <w:rsid w:val="007631A8"/>
    <w:rsid w:val="00763C76"/>
    <w:rsid w:val="00764508"/>
    <w:rsid w:val="00764742"/>
    <w:rsid w:val="0076672C"/>
    <w:rsid w:val="00770662"/>
    <w:rsid w:val="00770D79"/>
    <w:rsid w:val="00771A91"/>
    <w:rsid w:val="00774171"/>
    <w:rsid w:val="00774196"/>
    <w:rsid w:val="0077444C"/>
    <w:rsid w:val="00775610"/>
    <w:rsid w:val="00775B39"/>
    <w:rsid w:val="007777ED"/>
    <w:rsid w:val="00777AB9"/>
    <w:rsid w:val="007813C5"/>
    <w:rsid w:val="0078242D"/>
    <w:rsid w:val="007837AE"/>
    <w:rsid w:val="00783CC1"/>
    <w:rsid w:val="00784875"/>
    <w:rsid w:val="00786A62"/>
    <w:rsid w:val="00787145"/>
    <w:rsid w:val="00787244"/>
    <w:rsid w:val="007877F3"/>
    <w:rsid w:val="00787DE8"/>
    <w:rsid w:val="0079013A"/>
    <w:rsid w:val="007918D8"/>
    <w:rsid w:val="00791EE3"/>
    <w:rsid w:val="0079357F"/>
    <w:rsid w:val="00793D98"/>
    <w:rsid w:val="0079415D"/>
    <w:rsid w:val="00794A02"/>
    <w:rsid w:val="00795CF4"/>
    <w:rsid w:val="00796C2F"/>
    <w:rsid w:val="00796CC6"/>
    <w:rsid w:val="00797678"/>
    <w:rsid w:val="007A0054"/>
    <w:rsid w:val="007A00FA"/>
    <w:rsid w:val="007A147A"/>
    <w:rsid w:val="007A19E8"/>
    <w:rsid w:val="007A2296"/>
    <w:rsid w:val="007A4369"/>
    <w:rsid w:val="007A457D"/>
    <w:rsid w:val="007A534B"/>
    <w:rsid w:val="007A53AF"/>
    <w:rsid w:val="007A60C5"/>
    <w:rsid w:val="007A6C15"/>
    <w:rsid w:val="007A7590"/>
    <w:rsid w:val="007A7949"/>
    <w:rsid w:val="007B1203"/>
    <w:rsid w:val="007B1A24"/>
    <w:rsid w:val="007B4B5D"/>
    <w:rsid w:val="007B654C"/>
    <w:rsid w:val="007C04CB"/>
    <w:rsid w:val="007C08D8"/>
    <w:rsid w:val="007C1423"/>
    <w:rsid w:val="007C21C7"/>
    <w:rsid w:val="007C26D2"/>
    <w:rsid w:val="007C3E9C"/>
    <w:rsid w:val="007C4FDA"/>
    <w:rsid w:val="007C69F3"/>
    <w:rsid w:val="007C74BB"/>
    <w:rsid w:val="007C7E5D"/>
    <w:rsid w:val="007D08AA"/>
    <w:rsid w:val="007D0F44"/>
    <w:rsid w:val="007D1817"/>
    <w:rsid w:val="007D19A4"/>
    <w:rsid w:val="007D31C8"/>
    <w:rsid w:val="007D550E"/>
    <w:rsid w:val="007D5578"/>
    <w:rsid w:val="007D5C65"/>
    <w:rsid w:val="007D68C8"/>
    <w:rsid w:val="007D73AA"/>
    <w:rsid w:val="007E06C4"/>
    <w:rsid w:val="007E1817"/>
    <w:rsid w:val="007E265D"/>
    <w:rsid w:val="007E2930"/>
    <w:rsid w:val="007E3EF3"/>
    <w:rsid w:val="007E40AA"/>
    <w:rsid w:val="007E5A3F"/>
    <w:rsid w:val="007E6921"/>
    <w:rsid w:val="007E6B61"/>
    <w:rsid w:val="007E7869"/>
    <w:rsid w:val="007E7E41"/>
    <w:rsid w:val="007F1773"/>
    <w:rsid w:val="007F1C38"/>
    <w:rsid w:val="007F24C8"/>
    <w:rsid w:val="007F5D79"/>
    <w:rsid w:val="007F6106"/>
    <w:rsid w:val="007F75CD"/>
    <w:rsid w:val="007F7737"/>
    <w:rsid w:val="007F7797"/>
    <w:rsid w:val="008003B3"/>
    <w:rsid w:val="00800AD0"/>
    <w:rsid w:val="008018FF"/>
    <w:rsid w:val="00803A73"/>
    <w:rsid w:val="00805E17"/>
    <w:rsid w:val="00806238"/>
    <w:rsid w:val="00807E74"/>
    <w:rsid w:val="00811A0C"/>
    <w:rsid w:val="00811A31"/>
    <w:rsid w:val="00811A63"/>
    <w:rsid w:val="00811E92"/>
    <w:rsid w:val="00813006"/>
    <w:rsid w:val="008134F7"/>
    <w:rsid w:val="00813672"/>
    <w:rsid w:val="008139C3"/>
    <w:rsid w:val="00816C55"/>
    <w:rsid w:val="00816C62"/>
    <w:rsid w:val="00817421"/>
    <w:rsid w:val="0081755F"/>
    <w:rsid w:val="008177F7"/>
    <w:rsid w:val="00817FCB"/>
    <w:rsid w:val="008204A9"/>
    <w:rsid w:val="00821567"/>
    <w:rsid w:val="00822801"/>
    <w:rsid w:val="008237D6"/>
    <w:rsid w:val="00823BA0"/>
    <w:rsid w:val="008240C6"/>
    <w:rsid w:val="00824633"/>
    <w:rsid w:val="008254A4"/>
    <w:rsid w:val="008254FB"/>
    <w:rsid w:val="0082612B"/>
    <w:rsid w:val="00826E82"/>
    <w:rsid w:val="008310CA"/>
    <w:rsid w:val="00831281"/>
    <w:rsid w:val="00831708"/>
    <w:rsid w:val="008326FE"/>
    <w:rsid w:val="008327EB"/>
    <w:rsid w:val="008342B5"/>
    <w:rsid w:val="00834780"/>
    <w:rsid w:val="00834D96"/>
    <w:rsid w:val="00836D6A"/>
    <w:rsid w:val="00837093"/>
    <w:rsid w:val="008401BC"/>
    <w:rsid w:val="00840CE2"/>
    <w:rsid w:val="00841C06"/>
    <w:rsid w:val="0084209A"/>
    <w:rsid w:val="00842AAF"/>
    <w:rsid w:val="00844888"/>
    <w:rsid w:val="00844975"/>
    <w:rsid w:val="00846109"/>
    <w:rsid w:val="00853C3B"/>
    <w:rsid w:val="00853C92"/>
    <w:rsid w:val="00855CDE"/>
    <w:rsid w:val="00855CE0"/>
    <w:rsid w:val="00855DEC"/>
    <w:rsid w:val="00856173"/>
    <w:rsid w:val="00856607"/>
    <w:rsid w:val="00856BDE"/>
    <w:rsid w:val="00860011"/>
    <w:rsid w:val="00861312"/>
    <w:rsid w:val="008616DA"/>
    <w:rsid w:val="008620DB"/>
    <w:rsid w:val="0086312F"/>
    <w:rsid w:val="00863A25"/>
    <w:rsid w:val="00863AF3"/>
    <w:rsid w:val="00867480"/>
    <w:rsid w:val="00867942"/>
    <w:rsid w:val="008679D2"/>
    <w:rsid w:val="00867AE7"/>
    <w:rsid w:val="00867DC2"/>
    <w:rsid w:val="00870772"/>
    <w:rsid w:val="00872CED"/>
    <w:rsid w:val="00872F49"/>
    <w:rsid w:val="00873E84"/>
    <w:rsid w:val="00875528"/>
    <w:rsid w:val="00875C30"/>
    <w:rsid w:val="00875FDC"/>
    <w:rsid w:val="008767B9"/>
    <w:rsid w:val="00876E99"/>
    <w:rsid w:val="00876FAC"/>
    <w:rsid w:val="00876FB5"/>
    <w:rsid w:val="00877248"/>
    <w:rsid w:val="00877535"/>
    <w:rsid w:val="00880752"/>
    <w:rsid w:val="0088097B"/>
    <w:rsid w:val="008813BA"/>
    <w:rsid w:val="00881447"/>
    <w:rsid w:val="0088144A"/>
    <w:rsid w:val="00881D43"/>
    <w:rsid w:val="00882474"/>
    <w:rsid w:val="00882481"/>
    <w:rsid w:val="0088346A"/>
    <w:rsid w:val="00883DFA"/>
    <w:rsid w:val="008848F7"/>
    <w:rsid w:val="00884F10"/>
    <w:rsid w:val="00885A74"/>
    <w:rsid w:val="00886AEA"/>
    <w:rsid w:val="00886BD3"/>
    <w:rsid w:val="0088751E"/>
    <w:rsid w:val="008900D9"/>
    <w:rsid w:val="008900F5"/>
    <w:rsid w:val="00890ECD"/>
    <w:rsid w:val="008914E2"/>
    <w:rsid w:val="00892263"/>
    <w:rsid w:val="0089367D"/>
    <w:rsid w:val="00893DD8"/>
    <w:rsid w:val="008945BD"/>
    <w:rsid w:val="00894722"/>
    <w:rsid w:val="00894BAA"/>
    <w:rsid w:val="00894C92"/>
    <w:rsid w:val="00896A31"/>
    <w:rsid w:val="00897944"/>
    <w:rsid w:val="008A0500"/>
    <w:rsid w:val="008A0B96"/>
    <w:rsid w:val="008A1DAF"/>
    <w:rsid w:val="008A2C33"/>
    <w:rsid w:val="008A342F"/>
    <w:rsid w:val="008A387B"/>
    <w:rsid w:val="008A3E35"/>
    <w:rsid w:val="008A5A1D"/>
    <w:rsid w:val="008A5E32"/>
    <w:rsid w:val="008A75DD"/>
    <w:rsid w:val="008A793D"/>
    <w:rsid w:val="008B0262"/>
    <w:rsid w:val="008B084A"/>
    <w:rsid w:val="008B0D85"/>
    <w:rsid w:val="008B1670"/>
    <w:rsid w:val="008B1AEA"/>
    <w:rsid w:val="008B2A62"/>
    <w:rsid w:val="008B4202"/>
    <w:rsid w:val="008B4361"/>
    <w:rsid w:val="008B44EA"/>
    <w:rsid w:val="008B49FD"/>
    <w:rsid w:val="008B6499"/>
    <w:rsid w:val="008B76D7"/>
    <w:rsid w:val="008C20A1"/>
    <w:rsid w:val="008C2B06"/>
    <w:rsid w:val="008C3BE5"/>
    <w:rsid w:val="008C3E8C"/>
    <w:rsid w:val="008C4644"/>
    <w:rsid w:val="008C51EB"/>
    <w:rsid w:val="008C69B3"/>
    <w:rsid w:val="008C6CA8"/>
    <w:rsid w:val="008C75DB"/>
    <w:rsid w:val="008D01BE"/>
    <w:rsid w:val="008D074B"/>
    <w:rsid w:val="008D0852"/>
    <w:rsid w:val="008D1DC3"/>
    <w:rsid w:val="008D1E43"/>
    <w:rsid w:val="008D4757"/>
    <w:rsid w:val="008D47D3"/>
    <w:rsid w:val="008D4DD6"/>
    <w:rsid w:val="008D51A2"/>
    <w:rsid w:val="008D6EBB"/>
    <w:rsid w:val="008D7C0D"/>
    <w:rsid w:val="008D7C3A"/>
    <w:rsid w:val="008D7F82"/>
    <w:rsid w:val="008E39BB"/>
    <w:rsid w:val="008E3AEA"/>
    <w:rsid w:val="008E5317"/>
    <w:rsid w:val="008E5C39"/>
    <w:rsid w:val="008E5F99"/>
    <w:rsid w:val="008E6C21"/>
    <w:rsid w:val="008E7B60"/>
    <w:rsid w:val="008E7E41"/>
    <w:rsid w:val="008F0295"/>
    <w:rsid w:val="008F08DA"/>
    <w:rsid w:val="008F09E6"/>
    <w:rsid w:val="008F1155"/>
    <w:rsid w:val="008F1E30"/>
    <w:rsid w:val="008F2883"/>
    <w:rsid w:val="008F2CF6"/>
    <w:rsid w:val="008F2D32"/>
    <w:rsid w:val="008F3262"/>
    <w:rsid w:val="008F6EF3"/>
    <w:rsid w:val="008F79F1"/>
    <w:rsid w:val="00900BC5"/>
    <w:rsid w:val="00901050"/>
    <w:rsid w:val="00901FCE"/>
    <w:rsid w:val="009020D8"/>
    <w:rsid w:val="00902F15"/>
    <w:rsid w:val="009052BA"/>
    <w:rsid w:val="00905578"/>
    <w:rsid w:val="00905821"/>
    <w:rsid w:val="00906C8F"/>
    <w:rsid w:val="009100A6"/>
    <w:rsid w:val="00910513"/>
    <w:rsid w:val="00910D68"/>
    <w:rsid w:val="009137B9"/>
    <w:rsid w:val="00914610"/>
    <w:rsid w:val="00916E6C"/>
    <w:rsid w:val="009200B1"/>
    <w:rsid w:val="00920878"/>
    <w:rsid w:val="0092091E"/>
    <w:rsid w:val="00921138"/>
    <w:rsid w:val="00921AFE"/>
    <w:rsid w:val="0092335A"/>
    <w:rsid w:val="009241CD"/>
    <w:rsid w:val="00924D07"/>
    <w:rsid w:val="009250C2"/>
    <w:rsid w:val="00925ED4"/>
    <w:rsid w:val="0092671E"/>
    <w:rsid w:val="00926BD4"/>
    <w:rsid w:val="0092778C"/>
    <w:rsid w:val="00930DA5"/>
    <w:rsid w:val="009321C3"/>
    <w:rsid w:val="00932A66"/>
    <w:rsid w:val="009331F2"/>
    <w:rsid w:val="00933442"/>
    <w:rsid w:val="009343FB"/>
    <w:rsid w:val="00934F30"/>
    <w:rsid w:val="0093757C"/>
    <w:rsid w:val="00937771"/>
    <w:rsid w:val="009403E9"/>
    <w:rsid w:val="0094381F"/>
    <w:rsid w:val="00943B74"/>
    <w:rsid w:val="00943D61"/>
    <w:rsid w:val="009449CE"/>
    <w:rsid w:val="0094520F"/>
    <w:rsid w:val="00945A08"/>
    <w:rsid w:val="00945FFD"/>
    <w:rsid w:val="00946821"/>
    <w:rsid w:val="00950212"/>
    <w:rsid w:val="00950BA6"/>
    <w:rsid w:val="00950E0A"/>
    <w:rsid w:val="009533AD"/>
    <w:rsid w:val="0095378A"/>
    <w:rsid w:val="009539B6"/>
    <w:rsid w:val="0095421A"/>
    <w:rsid w:val="0095492D"/>
    <w:rsid w:val="009562FD"/>
    <w:rsid w:val="00956DBF"/>
    <w:rsid w:val="009602DC"/>
    <w:rsid w:val="00961135"/>
    <w:rsid w:val="009629DE"/>
    <w:rsid w:val="00962A41"/>
    <w:rsid w:val="00962F60"/>
    <w:rsid w:val="00966556"/>
    <w:rsid w:val="0096763C"/>
    <w:rsid w:val="00967AEB"/>
    <w:rsid w:val="00970D89"/>
    <w:rsid w:val="00972176"/>
    <w:rsid w:val="0097307E"/>
    <w:rsid w:val="00973E5B"/>
    <w:rsid w:val="00973F77"/>
    <w:rsid w:val="009749B8"/>
    <w:rsid w:val="00974A47"/>
    <w:rsid w:val="00974E16"/>
    <w:rsid w:val="00976BB5"/>
    <w:rsid w:val="009819EA"/>
    <w:rsid w:val="00981EDA"/>
    <w:rsid w:val="009828C1"/>
    <w:rsid w:val="00982BC0"/>
    <w:rsid w:val="00984E06"/>
    <w:rsid w:val="00985D8F"/>
    <w:rsid w:val="009869A1"/>
    <w:rsid w:val="00986AD9"/>
    <w:rsid w:val="00987585"/>
    <w:rsid w:val="00987D80"/>
    <w:rsid w:val="00990825"/>
    <w:rsid w:val="00990B01"/>
    <w:rsid w:val="00991487"/>
    <w:rsid w:val="00991540"/>
    <w:rsid w:val="00991B89"/>
    <w:rsid w:val="00992AB1"/>
    <w:rsid w:val="0099454F"/>
    <w:rsid w:val="009946DF"/>
    <w:rsid w:val="00994CD1"/>
    <w:rsid w:val="00994DC7"/>
    <w:rsid w:val="009950B8"/>
    <w:rsid w:val="0099537F"/>
    <w:rsid w:val="00995815"/>
    <w:rsid w:val="00997ACE"/>
    <w:rsid w:val="009A06B1"/>
    <w:rsid w:val="009A15A5"/>
    <w:rsid w:val="009A19E2"/>
    <w:rsid w:val="009A2A82"/>
    <w:rsid w:val="009A4F26"/>
    <w:rsid w:val="009A6077"/>
    <w:rsid w:val="009A7093"/>
    <w:rsid w:val="009B0CED"/>
    <w:rsid w:val="009B31DA"/>
    <w:rsid w:val="009B31F6"/>
    <w:rsid w:val="009B5537"/>
    <w:rsid w:val="009B6057"/>
    <w:rsid w:val="009B6208"/>
    <w:rsid w:val="009C007A"/>
    <w:rsid w:val="009C19B6"/>
    <w:rsid w:val="009C1C5F"/>
    <w:rsid w:val="009C428E"/>
    <w:rsid w:val="009C5D5D"/>
    <w:rsid w:val="009C63E2"/>
    <w:rsid w:val="009C6D52"/>
    <w:rsid w:val="009C6EA5"/>
    <w:rsid w:val="009D08E7"/>
    <w:rsid w:val="009D1652"/>
    <w:rsid w:val="009D1D10"/>
    <w:rsid w:val="009D2579"/>
    <w:rsid w:val="009D3129"/>
    <w:rsid w:val="009D38E4"/>
    <w:rsid w:val="009D3BC1"/>
    <w:rsid w:val="009D4774"/>
    <w:rsid w:val="009D50F3"/>
    <w:rsid w:val="009D516C"/>
    <w:rsid w:val="009D5225"/>
    <w:rsid w:val="009D670D"/>
    <w:rsid w:val="009D6A40"/>
    <w:rsid w:val="009D73D5"/>
    <w:rsid w:val="009D7672"/>
    <w:rsid w:val="009D7AB8"/>
    <w:rsid w:val="009E0B02"/>
    <w:rsid w:val="009E147D"/>
    <w:rsid w:val="009E1E1D"/>
    <w:rsid w:val="009E2B36"/>
    <w:rsid w:val="009E428A"/>
    <w:rsid w:val="009E6695"/>
    <w:rsid w:val="009F13A1"/>
    <w:rsid w:val="009F1B74"/>
    <w:rsid w:val="009F314C"/>
    <w:rsid w:val="009F373F"/>
    <w:rsid w:val="009F4580"/>
    <w:rsid w:val="009F4A3D"/>
    <w:rsid w:val="009F5A3D"/>
    <w:rsid w:val="009F5C53"/>
    <w:rsid w:val="009F69A7"/>
    <w:rsid w:val="009F797B"/>
    <w:rsid w:val="00A0161E"/>
    <w:rsid w:val="00A02168"/>
    <w:rsid w:val="00A02D21"/>
    <w:rsid w:val="00A02EDE"/>
    <w:rsid w:val="00A04AA4"/>
    <w:rsid w:val="00A04E1A"/>
    <w:rsid w:val="00A0500A"/>
    <w:rsid w:val="00A060EB"/>
    <w:rsid w:val="00A06392"/>
    <w:rsid w:val="00A064A8"/>
    <w:rsid w:val="00A07105"/>
    <w:rsid w:val="00A07582"/>
    <w:rsid w:val="00A07F80"/>
    <w:rsid w:val="00A104EF"/>
    <w:rsid w:val="00A10951"/>
    <w:rsid w:val="00A11946"/>
    <w:rsid w:val="00A11B98"/>
    <w:rsid w:val="00A11EC8"/>
    <w:rsid w:val="00A1333C"/>
    <w:rsid w:val="00A1432C"/>
    <w:rsid w:val="00A14E97"/>
    <w:rsid w:val="00A16505"/>
    <w:rsid w:val="00A16EE6"/>
    <w:rsid w:val="00A178BD"/>
    <w:rsid w:val="00A20C7C"/>
    <w:rsid w:val="00A2178F"/>
    <w:rsid w:val="00A21A52"/>
    <w:rsid w:val="00A222A7"/>
    <w:rsid w:val="00A2376B"/>
    <w:rsid w:val="00A23DAD"/>
    <w:rsid w:val="00A257FD"/>
    <w:rsid w:val="00A25AB3"/>
    <w:rsid w:val="00A267DA"/>
    <w:rsid w:val="00A269DD"/>
    <w:rsid w:val="00A26FB5"/>
    <w:rsid w:val="00A27180"/>
    <w:rsid w:val="00A275DC"/>
    <w:rsid w:val="00A31633"/>
    <w:rsid w:val="00A3278F"/>
    <w:rsid w:val="00A330F1"/>
    <w:rsid w:val="00A35550"/>
    <w:rsid w:val="00A373FF"/>
    <w:rsid w:val="00A37CC3"/>
    <w:rsid w:val="00A4303E"/>
    <w:rsid w:val="00A431DD"/>
    <w:rsid w:val="00A4456A"/>
    <w:rsid w:val="00A4783B"/>
    <w:rsid w:val="00A5035F"/>
    <w:rsid w:val="00A504A6"/>
    <w:rsid w:val="00A50F7D"/>
    <w:rsid w:val="00A51534"/>
    <w:rsid w:val="00A51AD7"/>
    <w:rsid w:val="00A51C39"/>
    <w:rsid w:val="00A52F1E"/>
    <w:rsid w:val="00A5398D"/>
    <w:rsid w:val="00A552EC"/>
    <w:rsid w:val="00A55F99"/>
    <w:rsid w:val="00A564FC"/>
    <w:rsid w:val="00A57A11"/>
    <w:rsid w:val="00A60E8F"/>
    <w:rsid w:val="00A61377"/>
    <w:rsid w:val="00A62131"/>
    <w:rsid w:val="00A62396"/>
    <w:rsid w:val="00A63932"/>
    <w:rsid w:val="00A6496F"/>
    <w:rsid w:val="00A66392"/>
    <w:rsid w:val="00A66996"/>
    <w:rsid w:val="00A66A11"/>
    <w:rsid w:val="00A66DAC"/>
    <w:rsid w:val="00A6764D"/>
    <w:rsid w:val="00A70F00"/>
    <w:rsid w:val="00A71E14"/>
    <w:rsid w:val="00A72FD3"/>
    <w:rsid w:val="00A73C28"/>
    <w:rsid w:val="00A7432F"/>
    <w:rsid w:val="00A74840"/>
    <w:rsid w:val="00A7561D"/>
    <w:rsid w:val="00A80DD7"/>
    <w:rsid w:val="00A818AD"/>
    <w:rsid w:val="00A8356E"/>
    <w:rsid w:val="00A8386D"/>
    <w:rsid w:val="00A86358"/>
    <w:rsid w:val="00A86E32"/>
    <w:rsid w:val="00A87D66"/>
    <w:rsid w:val="00A906DC"/>
    <w:rsid w:val="00A90A5A"/>
    <w:rsid w:val="00A90B5C"/>
    <w:rsid w:val="00A910DF"/>
    <w:rsid w:val="00A91F00"/>
    <w:rsid w:val="00A92173"/>
    <w:rsid w:val="00A9272A"/>
    <w:rsid w:val="00A927C3"/>
    <w:rsid w:val="00A9318C"/>
    <w:rsid w:val="00A948DC"/>
    <w:rsid w:val="00A94B67"/>
    <w:rsid w:val="00A94B9B"/>
    <w:rsid w:val="00A94CE6"/>
    <w:rsid w:val="00A95B87"/>
    <w:rsid w:val="00A96474"/>
    <w:rsid w:val="00A9650A"/>
    <w:rsid w:val="00A96CB5"/>
    <w:rsid w:val="00A96E63"/>
    <w:rsid w:val="00AA0E27"/>
    <w:rsid w:val="00AA140F"/>
    <w:rsid w:val="00AA1F2B"/>
    <w:rsid w:val="00AA26FC"/>
    <w:rsid w:val="00AA3C68"/>
    <w:rsid w:val="00AA3EE0"/>
    <w:rsid w:val="00AA3EE2"/>
    <w:rsid w:val="00AA451B"/>
    <w:rsid w:val="00AA45CE"/>
    <w:rsid w:val="00AA4744"/>
    <w:rsid w:val="00AA55BF"/>
    <w:rsid w:val="00AA6256"/>
    <w:rsid w:val="00AA7298"/>
    <w:rsid w:val="00AB2698"/>
    <w:rsid w:val="00AB3374"/>
    <w:rsid w:val="00AB5417"/>
    <w:rsid w:val="00AB5603"/>
    <w:rsid w:val="00AB5960"/>
    <w:rsid w:val="00AB6ADD"/>
    <w:rsid w:val="00AB73A3"/>
    <w:rsid w:val="00AC00AB"/>
    <w:rsid w:val="00AC178C"/>
    <w:rsid w:val="00AC196C"/>
    <w:rsid w:val="00AC258C"/>
    <w:rsid w:val="00AC377D"/>
    <w:rsid w:val="00AC40B1"/>
    <w:rsid w:val="00AC4741"/>
    <w:rsid w:val="00AC4FCE"/>
    <w:rsid w:val="00AC5422"/>
    <w:rsid w:val="00AC5796"/>
    <w:rsid w:val="00AC5BF5"/>
    <w:rsid w:val="00AC74AC"/>
    <w:rsid w:val="00AD1E6E"/>
    <w:rsid w:val="00AD2652"/>
    <w:rsid w:val="00AD2781"/>
    <w:rsid w:val="00AD3066"/>
    <w:rsid w:val="00AD330B"/>
    <w:rsid w:val="00AD44DA"/>
    <w:rsid w:val="00AD4A92"/>
    <w:rsid w:val="00AD5B68"/>
    <w:rsid w:val="00AD60A4"/>
    <w:rsid w:val="00AD6D42"/>
    <w:rsid w:val="00AD7534"/>
    <w:rsid w:val="00AE1A51"/>
    <w:rsid w:val="00AE1B01"/>
    <w:rsid w:val="00AE211F"/>
    <w:rsid w:val="00AE2AF4"/>
    <w:rsid w:val="00AE4127"/>
    <w:rsid w:val="00AE4C5E"/>
    <w:rsid w:val="00AE7706"/>
    <w:rsid w:val="00AF04BE"/>
    <w:rsid w:val="00AF0574"/>
    <w:rsid w:val="00AF0DF5"/>
    <w:rsid w:val="00AF0EE9"/>
    <w:rsid w:val="00AF1354"/>
    <w:rsid w:val="00AF1489"/>
    <w:rsid w:val="00AF2274"/>
    <w:rsid w:val="00AF34EB"/>
    <w:rsid w:val="00AF3AD1"/>
    <w:rsid w:val="00AF520C"/>
    <w:rsid w:val="00AF619B"/>
    <w:rsid w:val="00AF737B"/>
    <w:rsid w:val="00AF7742"/>
    <w:rsid w:val="00AF7760"/>
    <w:rsid w:val="00AF7799"/>
    <w:rsid w:val="00AF7B5C"/>
    <w:rsid w:val="00B009E2"/>
    <w:rsid w:val="00B00D3A"/>
    <w:rsid w:val="00B01234"/>
    <w:rsid w:val="00B0162A"/>
    <w:rsid w:val="00B01732"/>
    <w:rsid w:val="00B02077"/>
    <w:rsid w:val="00B0219A"/>
    <w:rsid w:val="00B02A1B"/>
    <w:rsid w:val="00B02E20"/>
    <w:rsid w:val="00B03617"/>
    <w:rsid w:val="00B063F0"/>
    <w:rsid w:val="00B06F14"/>
    <w:rsid w:val="00B06F16"/>
    <w:rsid w:val="00B1091B"/>
    <w:rsid w:val="00B113E5"/>
    <w:rsid w:val="00B146FC"/>
    <w:rsid w:val="00B15D95"/>
    <w:rsid w:val="00B161E0"/>
    <w:rsid w:val="00B1747A"/>
    <w:rsid w:val="00B20CAB"/>
    <w:rsid w:val="00B21758"/>
    <w:rsid w:val="00B219E9"/>
    <w:rsid w:val="00B222F0"/>
    <w:rsid w:val="00B22AAE"/>
    <w:rsid w:val="00B2314C"/>
    <w:rsid w:val="00B2322F"/>
    <w:rsid w:val="00B260C7"/>
    <w:rsid w:val="00B263CC"/>
    <w:rsid w:val="00B26509"/>
    <w:rsid w:val="00B26F73"/>
    <w:rsid w:val="00B27231"/>
    <w:rsid w:val="00B312C3"/>
    <w:rsid w:val="00B339E9"/>
    <w:rsid w:val="00B3401F"/>
    <w:rsid w:val="00B340EA"/>
    <w:rsid w:val="00B35A3C"/>
    <w:rsid w:val="00B35DBE"/>
    <w:rsid w:val="00B36B02"/>
    <w:rsid w:val="00B36F27"/>
    <w:rsid w:val="00B37926"/>
    <w:rsid w:val="00B37C25"/>
    <w:rsid w:val="00B40D7B"/>
    <w:rsid w:val="00B40E02"/>
    <w:rsid w:val="00B41BCE"/>
    <w:rsid w:val="00B41C87"/>
    <w:rsid w:val="00B41DE2"/>
    <w:rsid w:val="00B42040"/>
    <w:rsid w:val="00B425C3"/>
    <w:rsid w:val="00B436CD"/>
    <w:rsid w:val="00B4388A"/>
    <w:rsid w:val="00B43C8D"/>
    <w:rsid w:val="00B44083"/>
    <w:rsid w:val="00B44868"/>
    <w:rsid w:val="00B45027"/>
    <w:rsid w:val="00B450A8"/>
    <w:rsid w:val="00B45117"/>
    <w:rsid w:val="00B47380"/>
    <w:rsid w:val="00B5052E"/>
    <w:rsid w:val="00B506C1"/>
    <w:rsid w:val="00B513DA"/>
    <w:rsid w:val="00B51D36"/>
    <w:rsid w:val="00B51D67"/>
    <w:rsid w:val="00B5305D"/>
    <w:rsid w:val="00B54510"/>
    <w:rsid w:val="00B54EFF"/>
    <w:rsid w:val="00B5634A"/>
    <w:rsid w:val="00B60414"/>
    <w:rsid w:val="00B609AA"/>
    <w:rsid w:val="00B60D9C"/>
    <w:rsid w:val="00B60E06"/>
    <w:rsid w:val="00B617C4"/>
    <w:rsid w:val="00B61B7F"/>
    <w:rsid w:val="00B625B7"/>
    <w:rsid w:val="00B625F8"/>
    <w:rsid w:val="00B62632"/>
    <w:rsid w:val="00B6271B"/>
    <w:rsid w:val="00B62C74"/>
    <w:rsid w:val="00B636CF"/>
    <w:rsid w:val="00B637AE"/>
    <w:rsid w:val="00B63F0F"/>
    <w:rsid w:val="00B64A00"/>
    <w:rsid w:val="00B6579E"/>
    <w:rsid w:val="00B65966"/>
    <w:rsid w:val="00B66BAA"/>
    <w:rsid w:val="00B6749F"/>
    <w:rsid w:val="00B71049"/>
    <w:rsid w:val="00B72B76"/>
    <w:rsid w:val="00B735BF"/>
    <w:rsid w:val="00B74AB0"/>
    <w:rsid w:val="00B82E09"/>
    <w:rsid w:val="00B82F89"/>
    <w:rsid w:val="00B83242"/>
    <w:rsid w:val="00B84E40"/>
    <w:rsid w:val="00B8712B"/>
    <w:rsid w:val="00B90EA7"/>
    <w:rsid w:val="00B91E0E"/>
    <w:rsid w:val="00B937F8"/>
    <w:rsid w:val="00B93855"/>
    <w:rsid w:val="00B93B89"/>
    <w:rsid w:val="00B9505F"/>
    <w:rsid w:val="00B9536B"/>
    <w:rsid w:val="00B96479"/>
    <w:rsid w:val="00B9676F"/>
    <w:rsid w:val="00B9692F"/>
    <w:rsid w:val="00B96AD5"/>
    <w:rsid w:val="00B96CB1"/>
    <w:rsid w:val="00B96EEF"/>
    <w:rsid w:val="00B9715A"/>
    <w:rsid w:val="00B9731F"/>
    <w:rsid w:val="00B976DF"/>
    <w:rsid w:val="00BA123A"/>
    <w:rsid w:val="00BA2268"/>
    <w:rsid w:val="00BA29DB"/>
    <w:rsid w:val="00BA3CAC"/>
    <w:rsid w:val="00BA650A"/>
    <w:rsid w:val="00BA77FE"/>
    <w:rsid w:val="00BB426E"/>
    <w:rsid w:val="00BB50BE"/>
    <w:rsid w:val="00BB55D0"/>
    <w:rsid w:val="00BB5DFA"/>
    <w:rsid w:val="00BB68EE"/>
    <w:rsid w:val="00BB7A58"/>
    <w:rsid w:val="00BC0D07"/>
    <w:rsid w:val="00BC0EE3"/>
    <w:rsid w:val="00BC1851"/>
    <w:rsid w:val="00BC1F99"/>
    <w:rsid w:val="00BC1FAD"/>
    <w:rsid w:val="00BC2539"/>
    <w:rsid w:val="00BC3540"/>
    <w:rsid w:val="00BC389C"/>
    <w:rsid w:val="00BC3CED"/>
    <w:rsid w:val="00BC64AA"/>
    <w:rsid w:val="00BC6520"/>
    <w:rsid w:val="00BC673A"/>
    <w:rsid w:val="00BC6FA5"/>
    <w:rsid w:val="00BD01AB"/>
    <w:rsid w:val="00BD032D"/>
    <w:rsid w:val="00BD0A15"/>
    <w:rsid w:val="00BD0CFB"/>
    <w:rsid w:val="00BD1242"/>
    <w:rsid w:val="00BD2A4E"/>
    <w:rsid w:val="00BD3C7F"/>
    <w:rsid w:val="00BD49B2"/>
    <w:rsid w:val="00BD56D8"/>
    <w:rsid w:val="00BD5DAE"/>
    <w:rsid w:val="00BD5FA0"/>
    <w:rsid w:val="00BD73DD"/>
    <w:rsid w:val="00BE0FE3"/>
    <w:rsid w:val="00BE2EE5"/>
    <w:rsid w:val="00BE35C5"/>
    <w:rsid w:val="00BE595D"/>
    <w:rsid w:val="00BE5DBE"/>
    <w:rsid w:val="00BE5E9A"/>
    <w:rsid w:val="00BE60C2"/>
    <w:rsid w:val="00BE6C53"/>
    <w:rsid w:val="00BF087C"/>
    <w:rsid w:val="00BF1129"/>
    <w:rsid w:val="00BF170D"/>
    <w:rsid w:val="00BF20DF"/>
    <w:rsid w:val="00BF2DCE"/>
    <w:rsid w:val="00BF3F22"/>
    <w:rsid w:val="00BF4394"/>
    <w:rsid w:val="00BF5E3E"/>
    <w:rsid w:val="00BF6B40"/>
    <w:rsid w:val="00BF6FFC"/>
    <w:rsid w:val="00BF71C5"/>
    <w:rsid w:val="00C007CC"/>
    <w:rsid w:val="00C007E6"/>
    <w:rsid w:val="00C02D88"/>
    <w:rsid w:val="00C04891"/>
    <w:rsid w:val="00C058DC"/>
    <w:rsid w:val="00C05B80"/>
    <w:rsid w:val="00C06516"/>
    <w:rsid w:val="00C0781E"/>
    <w:rsid w:val="00C07F91"/>
    <w:rsid w:val="00C10650"/>
    <w:rsid w:val="00C11640"/>
    <w:rsid w:val="00C145AF"/>
    <w:rsid w:val="00C14D40"/>
    <w:rsid w:val="00C1640F"/>
    <w:rsid w:val="00C175A5"/>
    <w:rsid w:val="00C17D42"/>
    <w:rsid w:val="00C2018C"/>
    <w:rsid w:val="00C2025C"/>
    <w:rsid w:val="00C21207"/>
    <w:rsid w:val="00C21538"/>
    <w:rsid w:val="00C22783"/>
    <w:rsid w:val="00C235C9"/>
    <w:rsid w:val="00C23ADD"/>
    <w:rsid w:val="00C2483D"/>
    <w:rsid w:val="00C24E33"/>
    <w:rsid w:val="00C24F09"/>
    <w:rsid w:val="00C30D4D"/>
    <w:rsid w:val="00C30E49"/>
    <w:rsid w:val="00C32A9E"/>
    <w:rsid w:val="00C333F5"/>
    <w:rsid w:val="00C34018"/>
    <w:rsid w:val="00C36B3F"/>
    <w:rsid w:val="00C3710A"/>
    <w:rsid w:val="00C37858"/>
    <w:rsid w:val="00C37F42"/>
    <w:rsid w:val="00C37FFC"/>
    <w:rsid w:val="00C416CE"/>
    <w:rsid w:val="00C4200E"/>
    <w:rsid w:val="00C424BA"/>
    <w:rsid w:val="00C43422"/>
    <w:rsid w:val="00C43F31"/>
    <w:rsid w:val="00C44E7C"/>
    <w:rsid w:val="00C46A5E"/>
    <w:rsid w:val="00C51493"/>
    <w:rsid w:val="00C51751"/>
    <w:rsid w:val="00C51EBF"/>
    <w:rsid w:val="00C5223C"/>
    <w:rsid w:val="00C5245B"/>
    <w:rsid w:val="00C52AC9"/>
    <w:rsid w:val="00C52F1B"/>
    <w:rsid w:val="00C535D8"/>
    <w:rsid w:val="00C53D72"/>
    <w:rsid w:val="00C55D6C"/>
    <w:rsid w:val="00C56534"/>
    <w:rsid w:val="00C5685F"/>
    <w:rsid w:val="00C57C6A"/>
    <w:rsid w:val="00C603FD"/>
    <w:rsid w:val="00C61908"/>
    <w:rsid w:val="00C61D66"/>
    <w:rsid w:val="00C628CC"/>
    <w:rsid w:val="00C62F53"/>
    <w:rsid w:val="00C62FE9"/>
    <w:rsid w:val="00C656FE"/>
    <w:rsid w:val="00C66173"/>
    <w:rsid w:val="00C6634B"/>
    <w:rsid w:val="00C6666A"/>
    <w:rsid w:val="00C66D8F"/>
    <w:rsid w:val="00C67F0E"/>
    <w:rsid w:val="00C70551"/>
    <w:rsid w:val="00C70A5C"/>
    <w:rsid w:val="00C711A8"/>
    <w:rsid w:val="00C73BEF"/>
    <w:rsid w:val="00C7440A"/>
    <w:rsid w:val="00C74727"/>
    <w:rsid w:val="00C74ADD"/>
    <w:rsid w:val="00C75ED8"/>
    <w:rsid w:val="00C775C4"/>
    <w:rsid w:val="00C80343"/>
    <w:rsid w:val="00C80EDC"/>
    <w:rsid w:val="00C80FE9"/>
    <w:rsid w:val="00C81374"/>
    <w:rsid w:val="00C815F7"/>
    <w:rsid w:val="00C81960"/>
    <w:rsid w:val="00C84525"/>
    <w:rsid w:val="00C8614E"/>
    <w:rsid w:val="00C8626F"/>
    <w:rsid w:val="00C86F25"/>
    <w:rsid w:val="00C90324"/>
    <w:rsid w:val="00C9091D"/>
    <w:rsid w:val="00C90E38"/>
    <w:rsid w:val="00C91C19"/>
    <w:rsid w:val="00C91C7C"/>
    <w:rsid w:val="00C92F3F"/>
    <w:rsid w:val="00C93BE0"/>
    <w:rsid w:val="00C94077"/>
    <w:rsid w:val="00C940CD"/>
    <w:rsid w:val="00C942B0"/>
    <w:rsid w:val="00C949B9"/>
    <w:rsid w:val="00C95EA4"/>
    <w:rsid w:val="00C96225"/>
    <w:rsid w:val="00C9799E"/>
    <w:rsid w:val="00CA07F3"/>
    <w:rsid w:val="00CA14D4"/>
    <w:rsid w:val="00CA16A1"/>
    <w:rsid w:val="00CA1AC1"/>
    <w:rsid w:val="00CA1C10"/>
    <w:rsid w:val="00CA2A93"/>
    <w:rsid w:val="00CA3267"/>
    <w:rsid w:val="00CA3CF0"/>
    <w:rsid w:val="00CA41D1"/>
    <w:rsid w:val="00CA55C4"/>
    <w:rsid w:val="00CA5682"/>
    <w:rsid w:val="00CB24B4"/>
    <w:rsid w:val="00CB276D"/>
    <w:rsid w:val="00CB398A"/>
    <w:rsid w:val="00CB598F"/>
    <w:rsid w:val="00CB6C3A"/>
    <w:rsid w:val="00CB7310"/>
    <w:rsid w:val="00CC09E8"/>
    <w:rsid w:val="00CC1895"/>
    <w:rsid w:val="00CC1C46"/>
    <w:rsid w:val="00CC41F7"/>
    <w:rsid w:val="00CC5F4C"/>
    <w:rsid w:val="00CC63CB"/>
    <w:rsid w:val="00CC7655"/>
    <w:rsid w:val="00CD0D79"/>
    <w:rsid w:val="00CD3B48"/>
    <w:rsid w:val="00CD3C44"/>
    <w:rsid w:val="00CD4116"/>
    <w:rsid w:val="00CD53DD"/>
    <w:rsid w:val="00CD55F3"/>
    <w:rsid w:val="00CD579C"/>
    <w:rsid w:val="00CD5F03"/>
    <w:rsid w:val="00CD663E"/>
    <w:rsid w:val="00CD6E44"/>
    <w:rsid w:val="00CD70C5"/>
    <w:rsid w:val="00CD7407"/>
    <w:rsid w:val="00CD789A"/>
    <w:rsid w:val="00CD7D2F"/>
    <w:rsid w:val="00CD7D46"/>
    <w:rsid w:val="00CE02E3"/>
    <w:rsid w:val="00CE03E5"/>
    <w:rsid w:val="00CE2F6B"/>
    <w:rsid w:val="00CE3596"/>
    <w:rsid w:val="00CE7184"/>
    <w:rsid w:val="00CE7A79"/>
    <w:rsid w:val="00CF08DA"/>
    <w:rsid w:val="00CF315A"/>
    <w:rsid w:val="00CF35F8"/>
    <w:rsid w:val="00CF3A83"/>
    <w:rsid w:val="00CF3DAD"/>
    <w:rsid w:val="00CF4D9F"/>
    <w:rsid w:val="00CF6984"/>
    <w:rsid w:val="00CF7CE3"/>
    <w:rsid w:val="00D0112C"/>
    <w:rsid w:val="00D026CC"/>
    <w:rsid w:val="00D03187"/>
    <w:rsid w:val="00D03250"/>
    <w:rsid w:val="00D03A98"/>
    <w:rsid w:val="00D03F91"/>
    <w:rsid w:val="00D04D5C"/>
    <w:rsid w:val="00D06D25"/>
    <w:rsid w:val="00D071DA"/>
    <w:rsid w:val="00D10091"/>
    <w:rsid w:val="00D10507"/>
    <w:rsid w:val="00D10972"/>
    <w:rsid w:val="00D10B39"/>
    <w:rsid w:val="00D11CFB"/>
    <w:rsid w:val="00D155D2"/>
    <w:rsid w:val="00D16D83"/>
    <w:rsid w:val="00D22A27"/>
    <w:rsid w:val="00D22CFE"/>
    <w:rsid w:val="00D2359E"/>
    <w:rsid w:val="00D259D3"/>
    <w:rsid w:val="00D2648B"/>
    <w:rsid w:val="00D26B98"/>
    <w:rsid w:val="00D2772D"/>
    <w:rsid w:val="00D3109B"/>
    <w:rsid w:val="00D31B4C"/>
    <w:rsid w:val="00D31B86"/>
    <w:rsid w:val="00D33640"/>
    <w:rsid w:val="00D338A2"/>
    <w:rsid w:val="00D34EF7"/>
    <w:rsid w:val="00D36447"/>
    <w:rsid w:val="00D3736E"/>
    <w:rsid w:val="00D40648"/>
    <w:rsid w:val="00D407B8"/>
    <w:rsid w:val="00D41A86"/>
    <w:rsid w:val="00D42BDD"/>
    <w:rsid w:val="00D4674E"/>
    <w:rsid w:val="00D46C51"/>
    <w:rsid w:val="00D47508"/>
    <w:rsid w:val="00D47514"/>
    <w:rsid w:val="00D4768D"/>
    <w:rsid w:val="00D47F78"/>
    <w:rsid w:val="00D510EB"/>
    <w:rsid w:val="00D51794"/>
    <w:rsid w:val="00D517B7"/>
    <w:rsid w:val="00D5245F"/>
    <w:rsid w:val="00D52B6C"/>
    <w:rsid w:val="00D532A5"/>
    <w:rsid w:val="00D553CD"/>
    <w:rsid w:val="00D55C9F"/>
    <w:rsid w:val="00D5618B"/>
    <w:rsid w:val="00D56688"/>
    <w:rsid w:val="00D56C24"/>
    <w:rsid w:val="00D5722D"/>
    <w:rsid w:val="00D577D2"/>
    <w:rsid w:val="00D620EB"/>
    <w:rsid w:val="00D62272"/>
    <w:rsid w:val="00D631E3"/>
    <w:rsid w:val="00D6392A"/>
    <w:rsid w:val="00D63B8D"/>
    <w:rsid w:val="00D64076"/>
    <w:rsid w:val="00D64323"/>
    <w:rsid w:val="00D645F4"/>
    <w:rsid w:val="00D64686"/>
    <w:rsid w:val="00D64B43"/>
    <w:rsid w:val="00D657B3"/>
    <w:rsid w:val="00D65954"/>
    <w:rsid w:val="00D665A5"/>
    <w:rsid w:val="00D66878"/>
    <w:rsid w:val="00D674A4"/>
    <w:rsid w:val="00D676B3"/>
    <w:rsid w:val="00D678B7"/>
    <w:rsid w:val="00D73BB1"/>
    <w:rsid w:val="00D7553E"/>
    <w:rsid w:val="00D75E5E"/>
    <w:rsid w:val="00D7635A"/>
    <w:rsid w:val="00D76802"/>
    <w:rsid w:val="00D76E62"/>
    <w:rsid w:val="00D802AD"/>
    <w:rsid w:val="00D81E0A"/>
    <w:rsid w:val="00D8222A"/>
    <w:rsid w:val="00D8244C"/>
    <w:rsid w:val="00D82BD5"/>
    <w:rsid w:val="00D847DF"/>
    <w:rsid w:val="00D84CE5"/>
    <w:rsid w:val="00D86123"/>
    <w:rsid w:val="00D907DE"/>
    <w:rsid w:val="00D92682"/>
    <w:rsid w:val="00D94362"/>
    <w:rsid w:val="00D95731"/>
    <w:rsid w:val="00D96260"/>
    <w:rsid w:val="00D96D11"/>
    <w:rsid w:val="00D9764B"/>
    <w:rsid w:val="00D976EA"/>
    <w:rsid w:val="00DA00EA"/>
    <w:rsid w:val="00DA051E"/>
    <w:rsid w:val="00DA17D2"/>
    <w:rsid w:val="00DA1E1F"/>
    <w:rsid w:val="00DA24EB"/>
    <w:rsid w:val="00DA2657"/>
    <w:rsid w:val="00DA33BC"/>
    <w:rsid w:val="00DA3DFE"/>
    <w:rsid w:val="00DA4AB9"/>
    <w:rsid w:val="00DA5A6F"/>
    <w:rsid w:val="00DA6337"/>
    <w:rsid w:val="00DA6FCC"/>
    <w:rsid w:val="00DA743E"/>
    <w:rsid w:val="00DA7A36"/>
    <w:rsid w:val="00DB03EA"/>
    <w:rsid w:val="00DB06AC"/>
    <w:rsid w:val="00DB0724"/>
    <w:rsid w:val="00DB1DF8"/>
    <w:rsid w:val="00DB209D"/>
    <w:rsid w:val="00DB21FC"/>
    <w:rsid w:val="00DB27D0"/>
    <w:rsid w:val="00DB2E68"/>
    <w:rsid w:val="00DB421A"/>
    <w:rsid w:val="00DB6312"/>
    <w:rsid w:val="00DB6EC7"/>
    <w:rsid w:val="00DB73CE"/>
    <w:rsid w:val="00DC0DD9"/>
    <w:rsid w:val="00DC10C9"/>
    <w:rsid w:val="00DC3812"/>
    <w:rsid w:val="00DC441D"/>
    <w:rsid w:val="00DC6FE5"/>
    <w:rsid w:val="00DC7B7B"/>
    <w:rsid w:val="00DD17F6"/>
    <w:rsid w:val="00DD263A"/>
    <w:rsid w:val="00DD363C"/>
    <w:rsid w:val="00DD3EC3"/>
    <w:rsid w:val="00DD493A"/>
    <w:rsid w:val="00DD524F"/>
    <w:rsid w:val="00DD584D"/>
    <w:rsid w:val="00DE0752"/>
    <w:rsid w:val="00DE0B5F"/>
    <w:rsid w:val="00DE1C8B"/>
    <w:rsid w:val="00DE2A70"/>
    <w:rsid w:val="00DE36EF"/>
    <w:rsid w:val="00DE75AD"/>
    <w:rsid w:val="00DF0228"/>
    <w:rsid w:val="00DF0B09"/>
    <w:rsid w:val="00DF0D22"/>
    <w:rsid w:val="00DF1327"/>
    <w:rsid w:val="00DF13C7"/>
    <w:rsid w:val="00DF1AD4"/>
    <w:rsid w:val="00DF2C3B"/>
    <w:rsid w:val="00DF3126"/>
    <w:rsid w:val="00DF347D"/>
    <w:rsid w:val="00DF464B"/>
    <w:rsid w:val="00DF5CEA"/>
    <w:rsid w:val="00DF6015"/>
    <w:rsid w:val="00DF6A0B"/>
    <w:rsid w:val="00DF6EA3"/>
    <w:rsid w:val="00E004BD"/>
    <w:rsid w:val="00E006E6"/>
    <w:rsid w:val="00E01A20"/>
    <w:rsid w:val="00E03C5F"/>
    <w:rsid w:val="00E041F2"/>
    <w:rsid w:val="00E044F8"/>
    <w:rsid w:val="00E0474B"/>
    <w:rsid w:val="00E05529"/>
    <w:rsid w:val="00E0574F"/>
    <w:rsid w:val="00E06CF9"/>
    <w:rsid w:val="00E06F32"/>
    <w:rsid w:val="00E10D21"/>
    <w:rsid w:val="00E1118F"/>
    <w:rsid w:val="00E16605"/>
    <w:rsid w:val="00E20750"/>
    <w:rsid w:val="00E21050"/>
    <w:rsid w:val="00E21CAB"/>
    <w:rsid w:val="00E23F44"/>
    <w:rsid w:val="00E242E7"/>
    <w:rsid w:val="00E24669"/>
    <w:rsid w:val="00E24A1B"/>
    <w:rsid w:val="00E25118"/>
    <w:rsid w:val="00E25BF6"/>
    <w:rsid w:val="00E30563"/>
    <w:rsid w:val="00E30E57"/>
    <w:rsid w:val="00E3148D"/>
    <w:rsid w:val="00E3210D"/>
    <w:rsid w:val="00E322FE"/>
    <w:rsid w:val="00E32631"/>
    <w:rsid w:val="00E32F2A"/>
    <w:rsid w:val="00E33DB1"/>
    <w:rsid w:val="00E3428C"/>
    <w:rsid w:val="00E35893"/>
    <w:rsid w:val="00E360DA"/>
    <w:rsid w:val="00E40485"/>
    <w:rsid w:val="00E41E56"/>
    <w:rsid w:val="00E43662"/>
    <w:rsid w:val="00E44EB6"/>
    <w:rsid w:val="00E45BE5"/>
    <w:rsid w:val="00E47D02"/>
    <w:rsid w:val="00E51F32"/>
    <w:rsid w:val="00E5310F"/>
    <w:rsid w:val="00E53152"/>
    <w:rsid w:val="00E5412F"/>
    <w:rsid w:val="00E54456"/>
    <w:rsid w:val="00E5475C"/>
    <w:rsid w:val="00E55682"/>
    <w:rsid w:val="00E55830"/>
    <w:rsid w:val="00E564E8"/>
    <w:rsid w:val="00E57783"/>
    <w:rsid w:val="00E57A40"/>
    <w:rsid w:val="00E600A3"/>
    <w:rsid w:val="00E62693"/>
    <w:rsid w:val="00E62A86"/>
    <w:rsid w:val="00E6410C"/>
    <w:rsid w:val="00E64E09"/>
    <w:rsid w:val="00E650F3"/>
    <w:rsid w:val="00E6594A"/>
    <w:rsid w:val="00E7072B"/>
    <w:rsid w:val="00E709D7"/>
    <w:rsid w:val="00E71886"/>
    <w:rsid w:val="00E738C6"/>
    <w:rsid w:val="00E760A4"/>
    <w:rsid w:val="00E76418"/>
    <w:rsid w:val="00E80980"/>
    <w:rsid w:val="00E80C15"/>
    <w:rsid w:val="00E8143E"/>
    <w:rsid w:val="00E82DED"/>
    <w:rsid w:val="00E83282"/>
    <w:rsid w:val="00E8346B"/>
    <w:rsid w:val="00E83735"/>
    <w:rsid w:val="00E83B94"/>
    <w:rsid w:val="00E84B94"/>
    <w:rsid w:val="00E84E28"/>
    <w:rsid w:val="00E84F3B"/>
    <w:rsid w:val="00E86187"/>
    <w:rsid w:val="00E8624F"/>
    <w:rsid w:val="00E87048"/>
    <w:rsid w:val="00E91173"/>
    <w:rsid w:val="00E91AF7"/>
    <w:rsid w:val="00E9269A"/>
    <w:rsid w:val="00E92B6E"/>
    <w:rsid w:val="00E948A6"/>
    <w:rsid w:val="00E9497D"/>
    <w:rsid w:val="00E95480"/>
    <w:rsid w:val="00E95842"/>
    <w:rsid w:val="00E978AA"/>
    <w:rsid w:val="00EA04FA"/>
    <w:rsid w:val="00EA2221"/>
    <w:rsid w:val="00EA3738"/>
    <w:rsid w:val="00EA48E3"/>
    <w:rsid w:val="00EA4B3B"/>
    <w:rsid w:val="00EA5D52"/>
    <w:rsid w:val="00EA5D61"/>
    <w:rsid w:val="00EA697B"/>
    <w:rsid w:val="00EA69BA"/>
    <w:rsid w:val="00EA78F3"/>
    <w:rsid w:val="00EB2032"/>
    <w:rsid w:val="00EB3EFE"/>
    <w:rsid w:val="00EB411D"/>
    <w:rsid w:val="00EB5CCD"/>
    <w:rsid w:val="00EB650C"/>
    <w:rsid w:val="00EB68B0"/>
    <w:rsid w:val="00EC1245"/>
    <w:rsid w:val="00EC13DF"/>
    <w:rsid w:val="00EC1883"/>
    <w:rsid w:val="00EC2256"/>
    <w:rsid w:val="00EC2D04"/>
    <w:rsid w:val="00EC4084"/>
    <w:rsid w:val="00EC4F98"/>
    <w:rsid w:val="00EC5500"/>
    <w:rsid w:val="00EC649C"/>
    <w:rsid w:val="00ED05FE"/>
    <w:rsid w:val="00ED6012"/>
    <w:rsid w:val="00ED6F70"/>
    <w:rsid w:val="00ED7136"/>
    <w:rsid w:val="00ED7D1F"/>
    <w:rsid w:val="00EE0C0E"/>
    <w:rsid w:val="00EE0E48"/>
    <w:rsid w:val="00EE1746"/>
    <w:rsid w:val="00EE2C6E"/>
    <w:rsid w:val="00EE2FF5"/>
    <w:rsid w:val="00EE6017"/>
    <w:rsid w:val="00EE6366"/>
    <w:rsid w:val="00EE6C41"/>
    <w:rsid w:val="00EE6E17"/>
    <w:rsid w:val="00EE777A"/>
    <w:rsid w:val="00EF036D"/>
    <w:rsid w:val="00EF0497"/>
    <w:rsid w:val="00EF1D28"/>
    <w:rsid w:val="00EF472C"/>
    <w:rsid w:val="00EF5888"/>
    <w:rsid w:val="00EF783A"/>
    <w:rsid w:val="00EF7F78"/>
    <w:rsid w:val="00F00370"/>
    <w:rsid w:val="00F011D4"/>
    <w:rsid w:val="00F03B05"/>
    <w:rsid w:val="00F063FE"/>
    <w:rsid w:val="00F06FB6"/>
    <w:rsid w:val="00F07BB9"/>
    <w:rsid w:val="00F105E1"/>
    <w:rsid w:val="00F10DEF"/>
    <w:rsid w:val="00F11B4A"/>
    <w:rsid w:val="00F1436A"/>
    <w:rsid w:val="00F147E9"/>
    <w:rsid w:val="00F14821"/>
    <w:rsid w:val="00F16381"/>
    <w:rsid w:val="00F166E2"/>
    <w:rsid w:val="00F168D8"/>
    <w:rsid w:val="00F16D10"/>
    <w:rsid w:val="00F204D3"/>
    <w:rsid w:val="00F21507"/>
    <w:rsid w:val="00F21B8E"/>
    <w:rsid w:val="00F222FD"/>
    <w:rsid w:val="00F2241C"/>
    <w:rsid w:val="00F23116"/>
    <w:rsid w:val="00F25F22"/>
    <w:rsid w:val="00F26CBA"/>
    <w:rsid w:val="00F30C7E"/>
    <w:rsid w:val="00F31103"/>
    <w:rsid w:val="00F313A0"/>
    <w:rsid w:val="00F31457"/>
    <w:rsid w:val="00F31ABA"/>
    <w:rsid w:val="00F32BD6"/>
    <w:rsid w:val="00F3525D"/>
    <w:rsid w:val="00F3594D"/>
    <w:rsid w:val="00F359A5"/>
    <w:rsid w:val="00F361A3"/>
    <w:rsid w:val="00F3622E"/>
    <w:rsid w:val="00F3640E"/>
    <w:rsid w:val="00F411D3"/>
    <w:rsid w:val="00F4138F"/>
    <w:rsid w:val="00F41C4D"/>
    <w:rsid w:val="00F420C1"/>
    <w:rsid w:val="00F42720"/>
    <w:rsid w:val="00F42D6F"/>
    <w:rsid w:val="00F42FA4"/>
    <w:rsid w:val="00F446B0"/>
    <w:rsid w:val="00F44916"/>
    <w:rsid w:val="00F459FB"/>
    <w:rsid w:val="00F45CF8"/>
    <w:rsid w:val="00F50CC4"/>
    <w:rsid w:val="00F50DFB"/>
    <w:rsid w:val="00F537A9"/>
    <w:rsid w:val="00F537DB"/>
    <w:rsid w:val="00F53B3E"/>
    <w:rsid w:val="00F546A0"/>
    <w:rsid w:val="00F5601B"/>
    <w:rsid w:val="00F56A1C"/>
    <w:rsid w:val="00F5758A"/>
    <w:rsid w:val="00F617EB"/>
    <w:rsid w:val="00F62729"/>
    <w:rsid w:val="00F64104"/>
    <w:rsid w:val="00F642BA"/>
    <w:rsid w:val="00F64957"/>
    <w:rsid w:val="00F64F84"/>
    <w:rsid w:val="00F657DA"/>
    <w:rsid w:val="00F658EC"/>
    <w:rsid w:val="00F66782"/>
    <w:rsid w:val="00F70385"/>
    <w:rsid w:val="00F705FB"/>
    <w:rsid w:val="00F71F20"/>
    <w:rsid w:val="00F7245F"/>
    <w:rsid w:val="00F724E3"/>
    <w:rsid w:val="00F73305"/>
    <w:rsid w:val="00F73526"/>
    <w:rsid w:val="00F7665F"/>
    <w:rsid w:val="00F76826"/>
    <w:rsid w:val="00F77481"/>
    <w:rsid w:val="00F77A58"/>
    <w:rsid w:val="00F80BDB"/>
    <w:rsid w:val="00F81688"/>
    <w:rsid w:val="00F82C67"/>
    <w:rsid w:val="00F82FB6"/>
    <w:rsid w:val="00F836F6"/>
    <w:rsid w:val="00F83D55"/>
    <w:rsid w:val="00F845C1"/>
    <w:rsid w:val="00F85869"/>
    <w:rsid w:val="00F86975"/>
    <w:rsid w:val="00F86A37"/>
    <w:rsid w:val="00F902EF"/>
    <w:rsid w:val="00F917E1"/>
    <w:rsid w:val="00F918BD"/>
    <w:rsid w:val="00F91AF0"/>
    <w:rsid w:val="00F91D13"/>
    <w:rsid w:val="00F92429"/>
    <w:rsid w:val="00F927C3"/>
    <w:rsid w:val="00F92EF8"/>
    <w:rsid w:val="00F93EAF"/>
    <w:rsid w:val="00F947BA"/>
    <w:rsid w:val="00F94EA9"/>
    <w:rsid w:val="00F966CE"/>
    <w:rsid w:val="00F973A5"/>
    <w:rsid w:val="00FA0D21"/>
    <w:rsid w:val="00FA2545"/>
    <w:rsid w:val="00FA25F7"/>
    <w:rsid w:val="00FA4F34"/>
    <w:rsid w:val="00FA6A87"/>
    <w:rsid w:val="00FA6FA8"/>
    <w:rsid w:val="00FA70A4"/>
    <w:rsid w:val="00FA726C"/>
    <w:rsid w:val="00FA72AD"/>
    <w:rsid w:val="00FA74ED"/>
    <w:rsid w:val="00FB0547"/>
    <w:rsid w:val="00FB0E9E"/>
    <w:rsid w:val="00FB1621"/>
    <w:rsid w:val="00FB1950"/>
    <w:rsid w:val="00FB1FF7"/>
    <w:rsid w:val="00FB318D"/>
    <w:rsid w:val="00FB31E9"/>
    <w:rsid w:val="00FB374B"/>
    <w:rsid w:val="00FB4448"/>
    <w:rsid w:val="00FB4D33"/>
    <w:rsid w:val="00FB613E"/>
    <w:rsid w:val="00FB67CD"/>
    <w:rsid w:val="00FB6FCF"/>
    <w:rsid w:val="00FB7CB1"/>
    <w:rsid w:val="00FC0512"/>
    <w:rsid w:val="00FC22C4"/>
    <w:rsid w:val="00FC24ED"/>
    <w:rsid w:val="00FC2F8A"/>
    <w:rsid w:val="00FC323A"/>
    <w:rsid w:val="00FC34A1"/>
    <w:rsid w:val="00FC3D86"/>
    <w:rsid w:val="00FC4381"/>
    <w:rsid w:val="00FC5019"/>
    <w:rsid w:val="00FC5499"/>
    <w:rsid w:val="00FC63ED"/>
    <w:rsid w:val="00FC733A"/>
    <w:rsid w:val="00FD1629"/>
    <w:rsid w:val="00FD2A17"/>
    <w:rsid w:val="00FD3242"/>
    <w:rsid w:val="00FD3599"/>
    <w:rsid w:val="00FD3785"/>
    <w:rsid w:val="00FD3B9C"/>
    <w:rsid w:val="00FD3F96"/>
    <w:rsid w:val="00FD5662"/>
    <w:rsid w:val="00FD6BAB"/>
    <w:rsid w:val="00FD6EC9"/>
    <w:rsid w:val="00FD7333"/>
    <w:rsid w:val="00FD76C9"/>
    <w:rsid w:val="00FE027E"/>
    <w:rsid w:val="00FE07F0"/>
    <w:rsid w:val="00FE1660"/>
    <w:rsid w:val="00FE1CFF"/>
    <w:rsid w:val="00FE299F"/>
    <w:rsid w:val="00FE3938"/>
    <w:rsid w:val="00FE401B"/>
    <w:rsid w:val="00FE45E0"/>
    <w:rsid w:val="00FE5DEC"/>
    <w:rsid w:val="00FE78CA"/>
    <w:rsid w:val="00FF1F28"/>
    <w:rsid w:val="00FF4764"/>
    <w:rsid w:val="00FF5595"/>
    <w:rsid w:val="00FF6565"/>
    <w:rsid w:val="00FF7A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07B"/>
    <w:pPr>
      <w:ind w:left="720"/>
      <w:contextualSpacing/>
    </w:pPr>
  </w:style>
  <w:style w:type="table" w:styleId="TableGrid">
    <w:name w:val="Table Grid"/>
    <w:basedOn w:val="TableNormal"/>
    <w:uiPriority w:val="59"/>
    <w:rsid w:val="004000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0007B"/>
    <w:pPr>
      <w:tabs>
        <w:tab w:val="center" w:pos="4680"/>
        <w:tab w:val="right" w:pos="9360"/>
      </w:tabs>
    </w:pPr>
  </w:style>
  <w:style w:type="character" w:customStyle="1" w:styleId="FooterChar">
    <w:name w:val="Footer Char"/>
    <w:basedOn w:val="DefaultParagraphFont"/>
    <w:link w:val="Footer"/>
    <w:uiPriority w:val="99"/>
    <w:rsid w:val="0040007B"/>
  </w:style>
  <w:style w:type="paragraph" w:styleId="FootnoteText">
    <w:name w:val="footnote text"/>
    <w:basedOn w:val="Normal"/>
    <w:link w:val="FootnoteTextChar"/>
    <w:uiPriority w:val="99"/>
    <w:unhideWhenUsed/>
    <w:rsid w:val="0040007B"/>
    <w:rPr>
      <w:sz w:val="20"/>
      <w:szCs w:val="20"/>
    </w:rPr>
  </w:style>
  <w:style w:type="character" w:customStyle="1" w:styleId="FootnoteTextChar">
    <w:name w:val="Footnote Text Char"/>
    <w:basedOn w:val="DefaultParagraphFont"/>
    <w:link w:val="FootnoteText"/>
    <w:uiPriority w:val="99"/>
    <w:rsid w:val="0040007B"/>
    <w:rPr>
      <w:sz w:val="20"/>
      <w:szCs w:val="20"/>
    </w:rPr>
  </w:style>
  <w:style w:type="character" w:styleId="FootnoteReference">
    <w:name w:val="footnote reference"/>
    <w:basedOn w:val="DefaultParagraphFont"/>
    <w:uiPriority w:val="99"/>
    <w:unhideWhenUsed/>
    <w:rsid w:val="0040007B"/>
    <w:rPr>
      <w:vertAlign w:val="superscript"/>
    </w:rPr>
  </w:style>
  <w:style w:type="paragraph" w:styleId="BalloonText">
    <w:name w:val="Balloon Text"/>
    <w:basedOn w:val="Normal"/>
    <w:link w:val="BalloonTextChar"/>
    <w:uiPriority w:val="99"/>
    <w:semiHidden/>
    <w:unhideWhenUsed/>
    <w:rsid w:val="0040007B"/>
    <w:rPr>
      <w:rFonts w:ascii="Tahoma" w:hAnsi="Tahoma" w:cs="Tahoma"/>
      <w:sz w:val="16"/>
      <w:szCs w:val="16"/>
    </w:rPr>
  </w:style>
  <w:style w:type="character" w:customStyle="1" w:styleId="BalloonTextChar">
    <w:name w:val="Balloon Text Char"/>
    <w:basedOn w:val="DefaultParagraphFont"/>
    <w:link w:val="BalloonText"/>
    <w:uiPriority w:val="99"/>
    <w:semiHidden/>
    <w:rsid w:val="0040007B"/>
    <w:rPr>
      <w:rFonts w:ascii="Tahoma" w:hAnsi="Tahoma" w:cs="Tahoma"/>
      <w:sz w:val="16"/>
      <w:szCs w:val="16"/>
    </w:rPr>
  </w:style>
  <w:style w:type="character" w:styleId="Hyperlink">
    <w:name w:val="Hyperlink"/>
    <w:basedOn w:val="DefaultParagraphFont"/>
    <w:uiPriority w:val="99"/>
    <w:unhideWhenUsed/>
    <w:rsid w:val="0040007B"/>
    <w:rPr>
      <w:color w:val="0000FF" w:themeColor="hyperlink"/>
      <w:u w:val="single"/>
    </w:rPr>
  </w:style>
  <w:style w:type="character" w:customStyle="1" w:styleId="HeaderChar">
    <w:name w:val="Header Char"/>
    <w:basedOn w:val="DefaultParagraphFont"/>
    <w:link w:val="Header"/>
    <w:uiPriority w:val="99"/>
    <w:rsid w:val="0040007B"/>
  </w:style>
  <w:style w:type="paragraph" w:styleId="Header">
    <w:name w:val="header"/>
    <w:basedOn w:val="Normal"/>
    <w:link w:val="HeaderChar"/>
    <w:uiPriority w:val="99"/>
    <w:unhideWhenUsed/>
    <w:rsid w:val="0040007B"/>
    <w:pPr>
      <w:tabs>
        <w:tab w:val="center" w:pos="4680"/>
        <w:tab w:val="right" w:pos="9360"/>
      </w:tabs>
    </w:pPr>
  </w:style>
  <w:style w:type="character" w:customStyle="1" w:styleId="HeaderChar1">
    <w:name w:val="Header Char1"/>
    <w:basedOn w:val="DefaultParagraphFont"/>
    <w:uiPriority w:val="99"/>
    <w:semiHidden/>
    <w:rsid w:val="0040007B"/>
  </w:style>
  <w:style w:type="character" w:customStyle="1" w:styleId="CommentTextChar">
    <w:name w:val="Comment Text Char"/>
    <w:basedOn w:val="DefaultParagraphFont"/>
    <w:link w:val="CommentText"/>
    <w:uiPriority w:val="99"/>
    <w:semiHidden/>
    <w:rsid w:val="0040007B"/>
    <w:rPr>
      <w:sz w:val="20"/>
      <w:szCs w:val="20"/>
    </w:rPr>
  </w:style>
  <w:style w:type="paragraph" w:styleId="CommentText">
    <w:name w:val="annotation text"/>
    <w:basedOn w:val="Normal"/>
    <w:link w:val="CommentTextChar"/>
    <w:uiPriority w:val="99"/>
    <w:semiHidden/>
    <w:unhideWhenUsed/>
    <w:rsid w:val="0040007B"/>
    <w:rPr>
      <w:sz w:val="20"/>
      <w:szCs w:val="20"/>
    </w:rPr>
  </w:style>
  <w:style w:type="character" w:customStyle="1" w:styleId="CommentTextChar1">
    <w:name w:val="Comment Text Char1"/>
    <w:basedOn w:val="DefaultParagraphFont"/>
    <w:uiPriority w:val="99"/>
    <w:semiHidden/>
    <w:rsid w:val="0040007B"/>
    <w:rPr>
      <w:sz w:val="20"/>
      <w:szCs w:val="20"/>
    </w:rPr>
  </w:style>
  <w:style w:type="character" w:customStyle="1" w:styleId="CommentSubjectChar">
    <w:name w:val="Comment Subject Char"/>
    <w:basedOn w:val="CommentTextChar"/>
    <w:link w:val="CommentSubject"/>
    <w:uiPriority w:val="99"/>
    <w:semiHidden/>
    <w:rsid w:val="0040007B"/>
    <w:rPr>
      <w:b/>
      <w:bCs/>
      <w:sz w:val="20"/>
      <w:szCs w:val="20"/>
    </w:rPr>
  </w:style>
  <w:style w:type="paragraph" w:styleId="CommentSubject">
    <w:name w:val="annotation subject"/>
    <w:basedOn w:val="CommentText"/>
    <w:next w:val="CommentText"/>
    <w:link w:val="CommentSubjectChar"/>
    <w:uiPriority w:val="99"/>
    <w:semiHidden/>
    <w:unhideWhenUsed/>
    <w:rsid w:val="0040007B"/>
    <w:rPr>
      <w:b/>
      <w:bCs/>
    </w:rPr>
  </w:style>
  <w:style w:type="character" w:customStyle="1" w:styleId="CommentSubjectChar1">
    <w:name w:val="Comment Subject Char1"/>
    <w:basedOn w:val="CommentTextChar1"/>
    <w:uiPriority w:val="99"/>
    <w:semiHidden/>
    <w:rsid w:val="0040007B"/>
    <w:rPr>
      <w:b/>
      <w:bCs/>
      <w:sz w:val="20"/>
      <w:szCs w:val="20"/>
    </w:rPr>
  </w:style>
  <w:style w:type="character" w:styleId="CommentReference">
    <w:name w:val="annotation reference"/>
    <w:basedOn w:val="DefaultParagraphFont"/>
    <w:uiPriority w:val="99"/>
    <w:semiHidden/>
    <w:unhideWhenUsed/>
    <w:rsid w:val="0040007B"/>
    <w:rPr>
      <w:sz w:val="16"/>
      <w:szCs w:val="16"/>
    </w:rPr>
  </w:style>
  <w:style w:type="character" w:styleId="PlaceholderText">
    <w:name w:val="Placeholder Text"/>
    <w:basedOn w:val="DefaultParagraphFont"/>
    <w:uiPriority w:val="99"/>
    <w:semiHidden/>
    <w:rsid w:val="00045536"/>
    <w:rPr>
      <w:color w:val="808080"/>
    </w:rPr>
  </w:style>
  <w:style w:type="character" w:styleId="PageNumber">
    <w:name w:val="page number"/>
    <w:basedOn w:val="DefaultParagraphFont"/>
    <w:uiPriority w:val="99"/>
    <w:semiHidden/>
    <w:unhideWhenUsed/>
    <w:rsid w:val="00A50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4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hyperlink" Target="http://www.fundinguniverse.com/company-histories/" TargetMode="Externa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chart" Target="charts/chart3.xml"/><Relationship Id="rId19" Type="http://schemas.openxmlformats.org/officeDocument/2006/relationships/chart" Target="charts/chart6.xml"/><Relationship Id="rId31" Type="http://schemas.openxmlformats.org/officeDocument/2006/relationships/chart" Target="charts/chart18.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harrydeangelo:Desktop:Important%20Simulation%20Back%20up%20June%2019%202012:Simulation%20Summary%20diagrams%20June%2017%20201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Documents%20and%20Settings\deangelo\Desktop\LT%20Fin%20virtual%20desktop\Sutured%20files%20with%20article%20folders\Sears%20Roebuck\HD%20long%20diagram%20%20Sears%20ARsConsolidated%201907-2004%20June%2012%20201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Documents%20and%20Settings\deangelo\Desktop\IH%20Repair\HD%20diagram%20Double%20checked%20Intl%20Harvester%20consolidated%20ARs%201913-2008%20May%2024%202010.xlsx" TargetMode="Externa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Documents%20and%20Settings\deangelo\Desktop\Stability%20paper%20materials%20Feb%202011\Short%20appendix%20diagrams%20Excel%20file\w%20Short%20App%20DiagramsDJIA%20Book%20Leverage%20Ratio%20File%206%206%202011.xlsx" TargetMode="External"/><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Documents%20and%20Settings\deangelo\My%20Documents\Debt%20check%20allocated\HD%20diagram%20Completed%20Double%20checked%20Goodrich%20Financial%20Variables%20from%201912.xlsx" TargetMode="Externa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C:\Documents%20and%20Settings\deangelo\Desktop\Goodyear%20consolidation%20to%20do\HD%20consolidation%20Goodyear%20Fin%20Variables%20from%201911.xlsx" TargetMode="External"/><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Documents%20and%20Settings\deangelo\Desktop\Stability%20paper%20materials%20Feb%202011\Short%20appendix%20diagrams%20Excel%20file\w%20Short%20App%20DiagramsDJIA%20Book%20Leverage%20Ratio%20File%206%206%202011.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Documents%20and%20Settings\deangelo\Desktop\HD%20diagram%20Double%20Checked%20Fortune%20Brands%20Financial%20Variables%20from%201926.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Documents%20and%20Settings\deangelo\Desktop\HD%20diagram%20Eastman%20Kodak%20ARs%201902-2008%20June%204%202010.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Documents%20and%20Settings\deangelo\Desktop\Backfilled%20leverage%20diagrams\HD%20long%20diagram%20DuPont%20ARs%20From%201921%20Jun%2014%202010.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Documents%20and%20Settings\deangelo\Desktop\HD%20diagrams%20ChevronTexaco%20Financial%20Variables%20from%2019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harrydeangelo:Desktop:Important%20Simulation%20Back%20up%20June%2019%202012:Simulation%20Summary%20diagrams%20June%2017%202012.xlsx" TargetMode="Externa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oleObject" Target="file:///C:\Documents%20and%20Settings\deangelo\Desktop\Stability%20paper%20materials%20Feb%202011\Short%20appendix%20diagrams%20Excel%20file\w%20Short%20App%20DiagramsDJIA%20Book%20Leverage%20Ratio%20File%206%206%202011.xlsx" TargetMode="External"/><Relationship Id="rId1" Type="http://schemas.openxmlformats.org/officeDocument/2006/relationships/themeOverride" Target="../theme/themeOverride4.xm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Documents%20and%20Settings\deangelo\My%20Documents\Debt%20check%20allocated\HD%20diagram%20Completed%20Double%20Checked%20Exxon%20Financial%20Variables%20from%201918%20Mar%2024%202011.xlsx" TargetMode="Externa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oleObject" Target="file:///C:\Documents%20and%20Settings\deangelo\Desktop\Stability%20paper%20materials%20Feb%202011\Short%20appendix%20diagrams%20Excel%20file\w%20Short%20App%20DiagramsDJIA%20Book%20Leverage%20Ratio%20File%206%206%202011.xlsx" TargetMode="External"/><Relationship Id="rId1" Type="http://schemas.openxmlformats.org/officeDocument/2006/relationships/themeOverride" Target="../theme/themeOverride5.xm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Documents%20and%20Settings\deangelo\Desktop\Backfilled%20leverage%20diagrams\HD%20long%20diagram%20US%20Steel%20Financial%20Variables%20from%201901.xls"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Documents%20and%20Settings\deangelo\Desktop\Backfilled%20leverage%20diagrams\HD%20long%20diagram%20Bethlehem%20Steel%20Financial%20Variables%20from%201905.xls"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Documents%20and%20Settings\deangelo\Desktop\HD%20diagram%20Intl.%20Paper%20Financial%20Variables%20from%201909.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Documents%20and%20Settings\deangelo\Desktop\HD%20diagram%20Foot%20Locker%20Financial%20Variables%20from%201912.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Documents%20and%20Settings\deangelo\My%20Documents\Debt%20check%20allocated\HD%20Diagram%20Completed%20Double%20Checked%20Coca%20Cola%201919-2008%20April%2020%20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harrydeangelo:Desktop:Important%20Simulation%20Back%20up%20June%2019%202012:Simulation%20Summary%20diagrams%20June%2017%20201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deangelo\Desktop\GE%20double%20check\HD%20diagram%20Completed%20Double%20Checked%20GE%20Consolidation%20May%2024%20201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deangelo\Desktop\RA%20work%20in%20process\HD%20diagram%20copy%20GM%20ARs%201911-2008%20June%207%20201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deangelo\Desktop\HD%20diagram%20copy%20IBM%20Consolidated%201911-2008%20June%203%20201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deangelo\My%20Documents\Debt%20check%20allocated\HD%20diagram%20Completed%20Double%20check%20P%20&amp;%20G%20Financial%20Variables%20from%201917%20Completed.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ocuments%20and%20Settings\deangelo\Desktop\HD%20diagram%20Honeywell%20Financial%20Variables%20from%20192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cuments%20and%20Settings\deangelo\Desktop\HD%20diagram%20Union%20Carbide%20Financial%20Variables%20from%2019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plotArea>
      <c:layout/>
      <c:lineChart>
        <c:grouping val="standard"/>
        <c:ser>
          <c:idx val="0"/>
          <c:order val="0"/>
          <c:tx>
            <c:strRef>
              <c:f>'Stationary targets'!$A$22</c:f>
              <c:strCache>
                <c:ptCount val="1"/>
                <c:pt idx="0">
                  <c:v>Real data</c:v>
                </c:pt>
              </c:strCache>
            </c:strRef>
          </c:tx>
          <c:spPr>
            <a:ln w="50800">
              <a:solidFill>
                <a:schemeClr val="tx1"/>
              </a:solidFill>
            </a:ln>
          </c:spPr>
          <c:marker>
            <c:symbol val="none"/>
          </c:marker>
          <c:cat>
            <c:numRef>
              <c:f>'Stationary targets'!$B$21:$AO$21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'Stationary targets'!$B$22:$AO$22</c:f>
              <c:numCache>
                <c:formatCode>General</c:formatCode>
                <c:ptCount val="40"/>
                <c:pt idx="0">
                  <c:v>0.74400000000000022</c:v>
                </c:pt>
                <c:pt idx="1">
                  <c:v>0.59100000000000008</c:v>
                </c:pt>
                <c:pt idx="2">
                  <c:v>0.49100000000000016</c:v>
                </c:pt>
                <c:pt idx="3">
                  <c:v>0.42100000000000015</c:v>
                </c:pt>
                <c:pt idx="4">
                  <c:v>0.36900000000000016</c:v>
                </c:pt>
                <c:pt idx="5">
                  <c:v>0.32200000000000012</c:v>
                </c:pt>
                <c:pt idx="6">
                  <c:v>0.28700000000000009</c:v>
                </c:pt>
                <c:pt idx="7">
                  <c:v>0.25600000000000001</c:v>
                </c:pt>
                <c:pt idx="8">
                  <c:v>0.23</c:v>
                </c:pt>
                <c:pt idx="9">
                  <c:v>0.20800000000000005</c:v>
                </c:pt>
                <c:pt idx="10">
                  <c:v>0.19100000000000003</c:v>
                </c:pt>
                <c:pt idx="11">
                  <c:v>0.17500000000000004</c:v>
                </c:pt>
                <c:pt idx="12">
                  <c:v>0.16100000000000003</c:v>
                </c:pt>
                <c:pt idx="13">
                  <c:v>0.14800000000000005</c:v>
                </c:pt>
                <c:pt idx="14">
                  <c:v>0.13600000000000001</c:v>
                </c:pt>
                <c:pt idx="15">
                  <c:v>0.125</c:v>
                </c:pt>
                <c:pt idx="16">
                  <c:v>0.11500000000000002</c:v>
                </c:pt>
                <c:pt idx="17">
                  <c:v>0.10800000000000003</c:v>
                </c:pt>
                <c:pt idx="18">
                  <c:v>9.9000000000000157E-2</c:v>
                </c:pt>
                <c:pt idx="19">
                  <c:v>9.1000000000000025E-2</c:v>
                </c:pt>
                <c:pt idx="20">
                  <c:v>8.3000000000000157E-2</c:v>
                </c:pt>
                <c:pt idx="21">
                  <c:v>7.6000000000000012E-2</c:v>
                </c:pt>
                <c:pt idx="22">
                  <c:v>7.0000000000000021E-2</c:v>
                </c:pt>
                <c:pt idx="23">
                  <c:v>6.4000000000000112E-2</c:v>
                </c:pt>
                <c:pt idx="24">
                  <c:v>6.0000000000000019E-2</c:v>
                </c:pt>
                <c:pt idx="25">
                  <c:v>5.5000000000000014E-2</c:v>
                </c:pt>
                <c:pt idx="26">
                  <c:v>5.2000000000000018E-2</c:v>
                </c:pt>
                <c:pt idx="27">
                  <c:v>4.8000000000000015E-2</c:v>
                </c:pt>
                <c:pt idx="28">
                  <c:v>4.6000000000000013E-2</c:v>
                </c:pt>
                <c:pt idx="29">
                  <c:v>4.5000000000000012E-2</c:v>
                </c:pt>
                <c:pt idx="30">
                  <c:v>4.2000000000000016E-2</c:v>
                </c:pt>
                <c:pt idx="31">
                  <c:v>3.7000000000000012E-2</c:v>
                </c:pt>
                <c:pt idx="32">
                  <c:v>3.2000000000000015E-2</c:v>
                </c:pt>
                <c:pt idx="33">
                  <c:v>2.8000000000000004E-2</c:v>
                </c:pt>
                <c:pt idx="34">
                  <c:v>2.4000000000000007E-2</c:v>
                </c:pt>
                <c:pt idx="35">
                  <c:v>2.1000000000000008E-2</c:v>
                </c:pt>
                <c:pt idx="36">
                  <c:v>1.8000000000000006E-2</c:v>
                </c:pt>
                <c:pt idx="37">
                  <c:v>1.4999999999999998E-2</c:v>
                </c:pt>
                <c:pt idx="38">
                  <c:v>1.2999999999999998E-2</c:v>
                </c:pt>
                <c:pt idx="39">
                  <c:v>1.2000000000000004E-2</c:v>
                </c:pt>
              </c:numCache>
            </c:numRef>
          </c:val>
        </c:ser>
        <c:ser>
          <c:idx val="1"/>
          <c:order val="1"/>
          <c:tx>
            <c:strRef>
              <c:f>'Stationary targets'!$A$23</c:f>
              <c:strCache>
                <c:ptCount val="1"/>
                <c:pt idx="0">
                  <c:v>λ = 0.9</c:v>
                </c:pt>
              </c:strCache>
            </c:strRef>
          </c:tx>
          <c:spPr>
            <a:ln w="19050"/>
          </c:spPr>
          <c:marker>
            <c:symbol val="none"/>
          </c:marker>
          <c:cat>
            <c:numRef>
              <c:f>'Stationary targets'!$B$21:$AO$21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'Stationary targets'!$B$23:$AO$23</c:f>
              <c:numCache>
                <c:formatCode>General</c:formatCode>
                <c:ptCount val="40"/>
                <c:pt idx="0">
                  <c:v>0.46100000000000002</c:v>
                </c:pt>
                <c:pt idx="1">
                  <c:v>0.4200000000000001</c:v>
                </c:pt>
                <c:pt idx="2">
                  <c:v>0.41500000000000009</c:v>
                </c:pt>
                <c:pt idx="3">
                  <c:v>0.41300000000000009</c:v>
                </c:pt>
                <c:pt idx="4">
                  <c:v>0.41500000000000009</c:v>
                </c:pt>
                <c:pt idx="5">
                  <c:v>0.41600000000000009</c:v>
                </c:pt>
                <c:pt idx="6">
                  <c:v>0.41500000000000009</c:v>
                </c:pt>
                <c:pt idx="7">
                  <c:v>0.41300000000000009</c:v>
                </c:pt>
                <c:pt idx="8">
                  <c:v>0.41300000000000009</c:v>
                </c:pt>
                <c:pt idx="9">
                  <c:v>0.41400000000000009</c:v>
                </c:pt>
                <c:pt idx="10">
                  <c:v>0.41600000000000009</c:v>
                </c:pt>
                <c:pt idx="11">
                  <c:v>0.41700000000000009</c:v>
                </c:pt>
                <c:pt idx="12">
                  <c:v>0.41700000000000009</c:v>
                </c:pt>
                <c:pt idx="13">
                  <c:v>0.41400000000000009</c:v>
                </c:pt>
                <c:pt idx="14">
                  <c:v>0.41300000000000009</c:v>
                </c:pt>
                <c:pt idx="15">
                  <c:v>0.41600000000000009</c:v>
                </c:pt>
                <c:pt idx="16">
                  <c:v>0.41600000000000009</c:v>
                </c:pt>
                <c:pt idx="17">
                  <c:v>0.41600000000000009</c:v>
                </c:pt>
                <c:pt idx="18">
                  <c:v>0.41500000000000009</c:v>
                </c:pt>
                <c:pt idx="19">
                  <c:v>0.41600000000000009</c:v>
                </c:pt>
                <c:pt idx="20">
                  <c:v>0.41900000000000009</c:v>
                </c:pt>
                <c:pt idx="21">
                  <c:v>0.41800000000000009</c:v>
                </c:pt>
                <c:pt idx="22">
                  <c:v>0.41500000000000009</c:v>
                </c:pt>
                <c:pt idx="23">
                  <c:v>0.41700000000000009</c:v>
                </c:pt>
                <c:pt idx="24">
                  <c:v>0.41900000000000009</c:v>
                </c:pt>
                <c:pt idx="25">
                  <c:v>0.41700000000000009</c:v>
                </c:pt>
                <c:pt idx="26">
                  <c:v>0.41700000000000009</c:v>
                </c:pt>
                <c:pt idx="27">
                  <c:v>0.41500000000000009</c:v>
                </c:pt>
                <c:pt idx="28">
                  <c:v>0.41700000000000009</c:v>
                </c:pt>
                <c:pt idx="29">
                  <c:v>0.40900000000000009</c:v>
                </c:pt>
                <c:pt idx="30">
                  <c:v>0.41000000000000009</c:v>
                </c:pt>
                <c:pt idx="31">
                  <c:v>0.41900000000000009</c:v>
                </c:pt>
                <c:pt idx="32">
                  <c:v>0.41800000000000009</c:v>
                </c:pt>
                <c:pt idx="33">
                  <c:v>0.41300000000000009</c:v>
                </c:pt>
                <c:pt idx="34">
                  <c:v>0.41800000000000009</c:v>
                </c:pt>
                <c:pt idx="35">
                  <c:v>0.41500000000000009</c:v>
                </c:pt>
                <c:pt idx="36">
                  <c:v>0.40700000000000008</c:v>
                </c:pt>
                <c:pt idx="37">
                  <c:v>0.41000000000000009</c:v>
                </c:pt>
                <c:pt idx="38">
                  <c:v>0.40900000000000009</c:v>
                </c:pt>
                <c:pt idx="39">
                  <c:v>0.41500000000000009</c:v>
                </c:pt>
              </c:numCache>
            </c:numRef>
          </c:val>
        </c:ser>
        <c:ser>
          <c:idx val="2"/>
          <c:order val="2"/>
          <c:tx>
            <c:strRef>
              <c:f>'Stationary targets'!$A$24</c:f>
              <c:strCache>
                <c:ptCount val="1"/>
                <c:pt idx="0">
                  <c:v>λ = 0.8</c:v>
                </c:pt>
              </c:strCache>
            </c:strRef>
          </c:tx>
          <c:spPr>
            <a:ln w="19050"/>
          </c:spPr>
          <c:marker>
            <c:symbol val="none"/>
          </c:marker>
          <c:cat>
            <c:numRef>
              <c:f>'Stationary targets'!$B$21:$AO$21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'Stationary targets'!$B$24:$AO$24</c:f>
              <c:numCache>
                <c:formatCode>General</c:formatCode>
                <c:ptCount val="40"/>
                <c:pt idx="0">
                  <c:v>0.34900000000000014</c:v>
                </c:pt>
                <c:pt idx="1">
                  <c:v>0.25900000000000001</c:v>
                </c:pt>
                <c:pt idx="2">
                  <c:v>0.24300000000000005</c:v>
                </c:pt>
                <c:pt idx="3">
                  <c:v>0.24000000000000005</c:v>
                </c:pt>
                <c:pt idx="4">
                  <c:v>0.24100000000000005</c:v>
                </c:pt>
                <c:pt idx="5">
                  <c:v>0.24200000000000005</c:v>
                </c:pt>
                <c:pt idx="6">
                  <c:v>0.24100000000000005</c:v>
                </c:pt>
                <c:pt idx="7">
                  <c:v>0.24000000000000005</c:v>
                </c:pt>
                <c:pt idx="8">
                  <c:v>0.23900000000000005</c:v>
                </c:pt>
                <c:pt idx="9">
                  <c:v>0.23900000000000005</c:v>
                </c:pt>
                <c:pt idx="10">
                  <c:v>0.24000000000000005</c:v>
                </c:pt>
                <c:pt idx="11">
                  <c:v>0.24100000000000005</c:v>
                </c:pt>
                <c:pt idx="12">
                  <c:v>0.24100000000000005</c:v>
                </c:pt>
                <c:pt idx="13">
                  <c:v>0.24000000000000005</c:v>
                </c:pt>
                <c:pt idx="14">
                  <c:v>0.24000000000000005</c:v>
                </c:pt>
                <c:pt idx="15">
                  <c:v>0.24300000000000005</c:v>
                </c:pt>
                <c:pt idx="16">
                  <c:v>0.24000000000000005</c:v>
                </c:pt>
                <c:pt idx="17">
                  <c:v>0.24100000000000005</c:v>
                </c:pt>
                <c:pt idx="18">
                  <c:v>0.23900000000000005</c:v>
                </c:pt>
                <c:pt idx="19">
                  <c:v>0.24100000000000005</c:v>
                </c:pt>
                <c:pt idx="20">
                  <c:v>0.24400000000000005</c:v>
                </c:pt>
                <c:pt idx="21">
                  <c:v>0.24300000000000005</c:v>
                </c:pt>
                <c:pt idx="22">
                  <c:v>0.24200000000000005</c:v>
                </c:pt>
                <c:pt idx="23">
                  <c:v>0.24200000000000005</c:v>
                </c:pt>
                <c:pt idx="24">
                  <c:v>0.24000000000000005</c:v>
                </c:pt>
                <c:pt idx="25">
                  <c:v>0.24000000000000005</c:v>
                </c:pt>
                <c:pt idx="26">
                  <c:v>0.24200000000000005</c:v>
                </c:pt>
                <c:pt idx="27">
                  <c:v>0.24100000000000005</c:v>
                </c:pt>
                <c:pt idx="28">
                  <c:v>0.24100000000000005</c:v>
                </c:pt>
                <c:pt idx="29">
                  <c:v>0.23600000000000004</c:v>
                </c:pt>
                <c:pt idx="30">
                  <c:v>0.23800000000000004</c:v>
                </c:pt>
                <c:pt idx="31">
                  <c:v>0.24200000000000005</c:v>
                </c:pt>
                <c:pt idx="32">
                  <c:v>0.24100000000000005</c:v>
                </c:pt>
                <c:pt idx="33">
                  <c:v>0.23800000000000004</c:v>
                </c:pt>
                <c:pt idx="34">
                  <c:v>0.24200000000000005</c:v>
                </c:pt>
                <c:pt idx="35">
                  <c:v>0.23700000000000004</c:v>
                </c:pt>
                <c:pt idx="36">
                  <c:v>0.23400000000000001</c:v>
                </c:pt>
                <c:pt idx="37">
                  <c:v>0.23300000000000001</c:v>
                </c:pt>
                <c:pt idx="38">
                  <c:v>0.23700000000000004</c:v>
                </c:pt>
                <c:pt idx="39">
                  <c:v>0.24300000000000005</c:v>
                </c:pt>
              </c:numCache>
            </c:numRef>
          </c:val>
        </c:ser>
        <c:ser>
          <c:idx val="3"/>
          <c:order val="3"/>
          <c:tx>
            <c:strRef>
              <c:f>'Stationary targets'!$A$25</c:f>
              <c:strCache>
                <c:ptCount val="1"/>
                <c:pt idx="0">
                  <c:v>λ = 0.7</c:v>
                </c:pt>
              </c:strCache>
            </c:strRef>
          </c:tx>
          <c:spPr>
            <a:ln w="19050"/>
          </c:spPr>
          <c:marker>
            <c:symbol val="none"/>
          </c:marker>
          <c:cat>
            <c:numRef>
              <c:f>'Stationary targets'!$B$21:$AO$21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'Stationary targets'!$B$25:$AO$25</c:f>
              <c:numCache>
                <c:formatCode>General</c:formatCode>
                <c:ptCount val="40"/>
                <c:pt idx="0">
                  <c:v>0.47400000000000009</c:v>
                </c:pt>
                <c:pt idx="1">
                  <c:v>0.35500000000000009</c:v>
                </c:pt>
                <c:pt idx="2">
                  <c:v>0.32300000000000012</c:v>
                </c:pt>
                <c:pt idx="3">
                  <c:v>0.31300000000000011</c:v>
                </c:pt>
                <c:pt idx="4">
                  <c:v>0.31200000000000011</c:v>
                </c:pt>
                <c:pt idx="5">
                  <c:v>0.31200000000000011</c:v>
                </c:pt>
                <c:pt idx="6">
                  <c:v>0.30900000000000011</c:v>
                </c:pt>
                <c:pt idx="7">
                  <c:v>0.30800000000000011</c:v>
                </c:pt>
                <c:pt idx="8">
                  <c:v>0.30700000000000011</c:v>
                </c:pt>
                <c:pt idx="9">
                  <c:v>0.30800000000000011</c:v>
                </c:pt>
                <c:pt idx="10">
                  <c:v>0.31000000000000011</c:v>
                </c:pt>
                <c:pt idx="11">
                  <c:v>0.31000000000000011</c:v>
                </c:pt>
                <c:pt idx="12">
                  <c:v>0.31100000000000011</c:v>
                </c:pt>
                <c:pt idx="13">
                  <c:v>0.31000000000000011</c:v>
                </c:pt>
                <c:pt idx="14">
                  <c:v>0.30900000000000011</c:v>
                </c:pt>
                <c:pt idx="15">
                  <c:v>0.31000000000000011</c:v>
                </c:pt>
                <c:pt idx="16">
                  <c:v>0.30900000000000011</c:v>
                </c:pt>
                <c:pt idx="17">
                  <c:v>0.30900000000000011</c:v>
                </c:pt>
                <c:pt idx="18">
                  <c:v>0.30900000000000011</c:v>
                </c:pt>
                <c:pt idx="19">
                  <c:v>0.31000000000000011</c:v>
                </c:pt>
                <c:pt idx="20">
                  <c:v>0.31400000000000011</c:v>
                </c:pt>
                <c:pt idx="21">
                  <c:v>0.31300000000000011</c:v>
                </c:pt>
                <c:pt idx="22">
                  <c:v>0.31300000000000011</c:v>
                </c:pt>
                <c:pt idx="23">
                  <c:v>0.31300000000000011</c:v>
                </c:pt>
                <c:pt idx="24">
                  <c:v>0.31000000000000011</c:v>
                </c:pt>
                <c:pt idx="25">
                  <c:v>0.31000000000000011</c:v>
                </c:pt>
                <c:pt idx="26">
                  <c:v>0.31200000000000011</c:v>
                </c:pt>
                <c:pt idx="27">
                  <c:v>0.31300000000000011</c:v>
                </c:pt>
                <c:pt idx="28">
                  <c:v>0.31300000000000011</c:v>
                </c:pt>
                <c:pt idx="29">
                  <c:v>0.31100000000000011</c:v>
                </c:pt>
                <c:pt idx="30">
                  <c:v>0.31200000000000011</c:v>
                </c:pt>
                <c:pt idx="31">
                  <c:v>0.31200000000000011</c:v>
                </c:pt>
                <c:pt idx="32">
                  <c:v>0.31200000000000011</c:v>
                </c:pt>
                <c:pt idx="33">
                  <c:v>0.31100000000000011</c:v>
                </c:pt>
                <c:pt idx="34">
                  <c:v>0.31700000000000012</c:v>
                </c:pt>
                <c:pt idx="35">
                  <c:v>0.31200000000000011</c:v>
                </c:pt>
                <c:pt idx="36">
                  <c:v>0.31100000000000011</c:v>
                </c:pt>
                <c:pt idx="37">
                  <c:v>0.30500000000000016</c:v>
                </c:pt>
                <c:pt idx="38">
                  <c:v>0.30600000000000016</c:v>
                </c:pt>
                <c:pt idx="39">
                  <c:v>0.31100000000000011</c:v>
                </c:pt>
              </c:numCache>
            </c:numRef>
          </c:val>
        </c:ser>
        <c:ser>
          <c:idx val="4"/>
          <c:order val="4"/>
          <c:tx>
            <c:strRef>
              <c:f>'Stationary targets'!$A$26</c:f>
              <c:strCache>
                <c:ptCount val="1"/>
                <c:pt idx="0">
                  <c:v>λ = 0.6</c:v>
                </c:pt>
              </c:strCache>
            </c:strRef>
          </c:tx>
          <c:spPr>
            <a:ln w="19050"/>
          </c:spPr>
          <c:marker>
            <c:symbol val="none"/>
          </c:marker>
          <c:cat>
            <c:numRef>
              <c:f>'Stationary targets'!$B$21:$AO$21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'Stationary targets'!$B$26:$AO$26</c:f>
              <c:numCache>
                <c:formatCode>General</c:formatCode>
                <c:ptCount val="40"/>
                <c:pt idx="0">
                  <c:v>0.502</c:v>
                </c:pt>
                <c:pt idx="1">
                  <c:v>0.35200000000000009</c:v>
                </c:pt>
                <c:pt idx="2">
                  <c:v>0.3000000000000001</c:v>
                </c:pt>
                <c:pt idx="3">
                  <c:v>0.28000000000000008</c:v>
                </c:pt>
                <c:pt idx="4">
                  <c:v>0.27300000000000002</c:v>
                </c:pt>
                <c:pt idx="5">
                  <c:v>0.27</c:v>
                </c:pt>
                <c:pt idx="6">
                  <c:v>0.26700000000000002</c:v>
                </c:pt>
                <c:pt idx="7">
                  <c:v>0.26500000000000001</c:v>
                </c:pt>
                <c:pt idx="8">
                  <c:v>0.26400000000000001</c:v>
                </c:pt>
                <c:pt idx="9">
                  <c:v>0.26500000000000001</c:v>
                </c:pt>
                <c:pt idx="10">
                  <c:v>0.26600000000000001</c:v>
                </c:pt>
                <c:pt idx="11">
                  <c:v>0.26700000000000002</c:v>
                </c:pt>
                <c:pt idx="12">
                  <c:v>0.26700000000000002</c:v>
                </c:pt>
                <c:pt idx="13">
                  <c:v>0.26600000000000001</c:v>
                </c:pt>
                <c:pt idx="14">
                  <c:v>0.26500000000000001</c:v>
                </c:pt>
                <c:pt idx="15">
                  <c:v>0.26700000000000002</c:v>
                </c:pt>
                <c:pt idx="16">
                  <c:v>0.26600000000000001</c:v>
                </c:pt>
                <c:pt idx="17">
                  <c:v>0.26700000000000002</c:v>
                </c:pt>
                <c:pt idx="18">
                  <c:v>0.26700000000000002</c:v>
                </c:pt>
                <c:pt idx="19">
                  <c:v>0.26900000000000002</c:v>
                </c:pt>
                <c:pt idx="20">
                  <c:v>0.27200000000000002</c:v>
                </c:pt>
                <c:pt idx="21">
                  <c:v>0.27200000000000002</c:v>
                </c:pt>
                <c:pt idx="22">
                  <c:v>0.27100000000000002</c:v>
                </c:pt>
                <c:pt idx="23">
                  <c:v>0.27100000000000002</c:v>
                </c:pt>
                <c:pt idx="24">
                  <c:v>0.26900000000000002</c:v>
                </c:pt>
                <c:pt idx="25">
                  <c:v>0.27</c:v>
                </c:pt>
                <c:pt idx="26">
                  <c:v>0.27200000000000002</c:v>
                </c:pt>
                <c:pt idx="27">
                  <c:v>0.27300000000000002</c:v>
                </c:pt>
                <c:pt idx="28">
                  <c:v>0.27200000000000002</c:v>
                </c:pt>
                <c:pt idx="29">
                  <c:v>0.26700000000000002</c:v>
                </c:pt>
                <c:pt idx="30">
                  <c:v>0.26800000000000002</c:v>
                </c:pt>
                <c:pt idx="31">
                  <c:v>0.27</c:v>
                </c:pt>
                <c:pt idx="32">
                  <c:v>0.27</c:v>
                </c:pt>
                <c:pt idx="33">
                  <c:v>0.26800000000000002</c:v>
                </c:pt>
                <c:pt idx="34">
                  <c:v>0.27</c:v>
                </c:pt>
                <c:pt idx="35">
                  <c:v>0.26600000000000001</c:v>
                </c:pt>
                <c:pt idx="36">
                  <c:v>0.26300000000000001</c:v>
                </c:pt>
                <c:pt idx="37">
                  <c:v>0.26</c:v>
                </c:pt>
                <c:pt idx="38">
                  <c:v>0.26200000000000001</c:v>
                </c:pt>
                <c:pt idx="39">
                  <c:v>0.26600000000000001</c:v>
                </c:pt>
              </c:numCache>
            </c:numRef>
          </c:val>
        </c:ser>
        <c:ser>
          <c:idx val="5"/>
          <c:order val="5"/>
          <c:tx>
            <c:strRef>
              <c:f>'Stationary targets'!$A$27</c:f>
              <c:strCache>
                <c:ptCount val="1"/>
                <c:pt idx="0">
                  <c:v>λ = 0.5</c:v>
                </c:pt>
              </c:strCache>
            </c:strRef>
          </c:tx>
          <c:spPr>
            <a:ln w="19050"/>
          </c:spPr>
          <c:marker>
            <c:symbol val="none"/>
          </c:marker>
          <c:cat>
            <c:numRef>
              <c:f>'Stationary targets'!$B$21:$AO$21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'Stationary targets'!$B$27:$AO$27</c:f>
              <c:numCache>
                <c:formatCode>General</c:formatCode>
                <c:ptCount val="40"/>
                <c:pt idx="0">
                  <c:v>0.59300000000000008</c:v>
                </c:pt>
                <c:pt idx="1">
                  <c:v>0.43100000000000016</c:v>
                </c:pt>
                <c:pt idx="2">
                  <c:v>0.3600000000000001</c:v>
                </c:pt>
                <c:pt idx="3">
                  <c:v>0.32700000000000012</c:v>
                </c:pt>
                <c:pt idx="4">
                  <c:v>0.31200000000000011</c:v>
                </c:pt>
                <c:pt idx="5">
                  <c:v>0.30400000000000016</c:v>
                </c:pt>
                <c:pt idx="6">
                  <c:v>0.29800000000000015</c:v>
                </c:pt>
                <c:pt idx="7">
                  <c:v>0.2950000000000001</c:v>
                </c:pt>
                <c:pt idx="8">
                  <c:v>0.29400000000000009</c:v>
                </c:pt>
                <c:pt idx="9">
                  <c:v>0.29400000000000009</c:v>
                </c:pt>
                <c:pt idx="10">
                  <c:v>0.29600000000000015</c:v>
                </c:pt>
                <c:pt idx="11">
                  <c:v>0.29600000000000015</c:v>
                </c:pt>
                <c:pt idx="12">
                  <c:v>0.29700000000000015</c:v>
                </c:pt>
                <c:pt idx="13">
                  <c:v>0.29600000000000015</c:v>
                </c:pt>
                <c:pt idx="14">
                  <c:v>0.2950000000000001</c:v>
                </c:pt>
                <c:pt idx="15">
                  <c:v>0.29600000000000015</c:v>
                </c:pt>
                <c:pt idx="16">
                  <c:v>0.29400000000000009</c:v>
                </c:pt>
                <c:pt idx="17">
                  <c:v>0.29400000000000009</c:v>
                </c:pt>
                <c:pt idx="18">
                  <c:v>0.29400000000000009</c:v>
                </c:pt>
                <c:pt idx="19">
                  <c:v>0.29600000000000015</c:v>
                </c:pt>
                <c:pt idx="20">
                  <c:v>0.29800000000000015</c:v>
                </c:pt>
                <c:pt idx="21">
                  <c:v>0.29800000000000015</c:v>
                </c:pt>
                <c:pt idx="22">
                  <c:v>0.29800000000000015</c:v>
                </c:pt>
                <c:pt idx="23">
                  <c:v>0.29800000000000015</c:v>
                </c:pt>
                <c:pt idx="24">
                  <c:v>0.2950000000000001</c:v>
                </c:pt>
                <c:pt idx="25">
                  <c:v>0.29600000000000015</c:v>
                </c:pt>
                <c:pt idx="26">
                  <c:v>0.29800000000000015</c:v>
                </c:pt>
                <c:pt idx="27">
                  <c:v>0.29900000000000015</c:v>
                </c:pt>
                <c:pt idx="28">
                  <c:v>0.29900000000000015</c:v>
                </c:pt>
                <c:pt idx="29">
                  <c:v>0.29700000000000015</c:v>
                </c:pt>
                <c:pt idx="30">
                  <c:v>0.29800000000000015</c:v>
                </c:pt>
                <c:pt idx="31">
                  <c:v>0.29800000000000015</c:v>
                </c:pt>
                <c:pt idx="32">
                  <c:v>0.29700000000000015</c:v>
                </c:pt>
                <c:pt idx="33">
                  <c:v>0.29700000000000015</c:v>
                </c:pt>
                <c:pt idx="34">
                  <c:v>0.30100000000000016</c:v>
                </c:pt>
                <c:pt idx="35">
                  <c:v>0.29800000000000015</c:v>
                </c:pt>
                <c:pt idx="36">
                  <c:v>0.29700000000000015</c:v>
                </c:pt>
                <c:pt idx="37">
                  <c:v>0.29300000000000009</c:v>
                </c:pt>
                <c:pt idx="38">
                  <c:v>0.29000000000000009</c:v>
                </c:pt>
                <c:pt idx="39">
                  <c:v>0.29400000000000009</c:v>
                </c:pt>
              </c:numCache>
            </c:numRef>
          </c:val>
        </c:ser>
        <c:ser>
          <c:idx val="6"/>
          <c:order val="6"/>
          <c:tx>
            <c:strRef>
              <c:f>'Stationary targets'!$A$28</c:f>
              <c:strCache>
                <c:ptCount val="1"/>
                <c:pt idx="0">
                  <c:v>λ = 0.4</c:v>
                </c:pt>
              </c:strCache>
            </c:strRef>
          </c:tx>
          <c:spPr>
            <a:ln w="31750"/>
          </c:spPr>
          <c:marker>
            <c:symbol val="none"/>
          </c:marker>
          <c:cat>
            <c:numRef>
              <c:f>'Stationary targets'!$B$21:$AO$21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'Stationary targets'!$B$28:$AO$28</c:f>
              <c:numCache>
                <c:formatCode>General</c:formatCode>
                <c:ptCount val="40"/>
                <c:pt idx="0">
                  <c:v>0.65200000000000125</c:v>
                </c:pt>
                <c:pt idx="1">
                  <c:v>0.48100000000000009</c:v>
                </c:pt>
                <c:pt idx="2">
                  <c:v>0.39200000000000013</c:v>
                </c:pt>
                <c:pt idx="3">
                  <c:v>0.34200000000000019</c:v>
                </c:pt>
                <c:pt idx="4">
                  <c:v>0.31500000000000011</c:v>
                </c:pt>
                <c:pt idx="5">
                  <c:v>0.29900000000000015</c:v>
                </c:pt>
                <c:pt idx="6">
                  <c:v>0.28900000000000009</c:v>
                </c:pt>
                <c:pt idx="7">
                  <c:v>0.28200000000000008</c:v>
                </c:pt>
                <c:pt idx="8">
                  <c:v>0.27900000000000008</c:v>
                </c:pt>
                <c:pt idx="9">
                  <c:v>0.27900000000000008</c:v>
                </c:pt>
                <c:pt idx="10">
                  <c:v>0.27900000000000008</c:v>
                </c:pt>
                <c:pt idx="11">
                  <c:v>0.28000000000000008</c:v>
                </c:pt>
                <c:pt idx="12">
                  <c:v>0.28000000000000008</c:v>
                </c:pt>
                <c:pt idx="13">
                  <c:v>0.27900000000000008</c:v>
                </c:pt>
                <c:pt idx="14">
                  <c:v>0.27700000000000002</c:v>
                </c:pt>
                <c:pt idx="15">
                  <c:v>0.27700000000000002</c:v>
                </c:pt>
                <c:pt idx="16">
                  <c:v>0.27700000000000002</c:v>
                </c:pt>
                <c:pt idx="17">
                  <c:v>0.27700000000000002</c:v>
                </c:pt>
                <c:pt idx="18">
                  <c:v>0.27700000000000002</c:v>
                </c:pt>
                <c:pt idx="19">
                  <c:v>0.27900000000000008</c:v>
                </c:pt>
                <c:pt idx="20">
                  <c:v>0.28100000000000008</c:v>
                </c:pt>
                <c:pt idx="21">
                  <c:v>0.28100000000000008</c:v>
                </c:pt>
                <c:pt idx="22">
                  <c:v>0.28000000000000008</c:v>
                </c:pt>
                <c:pt idx="23">
                  <c:v>0.27900000000000008</c:v>
                </c:pt>
                <c:pt idx="24">
                  <c:v>0.27700000000000002</c:v>
                </c:pt>
                <c:pt idx="25">
                  <c:v>0.27800000000000002</c:v>
                </c:pt>
                <c:pt idx="26">
                  <c:v>0.27900000000000008</c:v>
                </c:pt>
                <c:pt idx="27">
                  <c:v>0.27900000000000008</c:v>
                </c:pt>
                <c:pt idx="28">
                  <c:v>0.27700000000000002</c:v>
                </c:pt>
                <c:pt idx="29">
                  <c:v>0.27500000000000002</c:v>
                </c:pt>
                <c:pt idx="30">
                  <c:v>0.27600000000000002</c:v>
                </c:pt>
                <c:pt idx="31">
                  <c:v>0.27700000000000002</c:v>
                </c:pt>
                <c:pt idx="32">
                  <c:v>0.27900000000000008</c:v>
                </c:pt>
                <c:pt idx="33">
                  <c:v>0.27900000000000008</c:v>
                </c:pt>
                <c:pt idx="34">
                  <c:v>0.28100000000000008</c:v>
                </c:pt>
                <c:pt idx="35">
                  <c:v>0.27900000000000008</c:v>
                </c:pt>
                <c:pt idx="36">
                  <c:v>0.27600000000000002</c:v>
                </c:pt>
                <c:pt idx="37">
                  <c:v>0.27300000000000002</c:v>
                </c:pt>
                <c:pt idx="38">
                  <c:v>0.27600000000000002</c:v>
                </c:pt>
                <c:pt idx="39">
                  <c:v>0.28300000000000008</c:v>
                </c:pt>
              </c:numCache>
            </c:numRef>
          </c:val>
        </c:ser>
        <c:ser>
          <c:idx val="7"/>
          <c:order val="7"/>
          <c:tx>
            <c:strRef>
              <c:f>'Stationary targets'!$A$29</c:f>
              <c:strCache>
                <c:ptCount val="1"/>
                <c:pt idx="0">
                  <c:v>λ = 0.3</c:v>
                </c:pt>
              </c:strCache>
            </c:strRef>
          </c:tx>
          <c:spPr>
            <a:ln w="19050"/>
          </c:spPr>
          <c:marker>
            <c:symbol val="none"/>
          </c:marker>
          <c:cat>
            <c:numRef>
              <c:f>'Stationary targets'!$B$21:$AO$21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'Stationary targets'!$B$29:$AO$29</c:f>
              <c:numCache>
                <c:formatCode>General</c:formatCode>
                <c:ptCount val="40"/>
                <c:pt idx="0">
                  <c:v>0.68200000000000127</c:v>
                </c:pt>
                <c:pt idx="1">
                  <c:v>0.49800000000000011</c:v>
                </c:pt>
                <c:pt idx="2">
                  <c:v>0.38800000000000012</c:v>
                </c:pt>
                <c:pt idx="3">
                  <c:v>0.31800000000000012</c:v>
                </c:pt>
                <c:pt idx="4">
                  <c:v>0.27400000000000002</c:v>
                </c:pt>
                <c:pt idx="5">
                  <c:v>0.24600000000000005</c:v>
                </c:pt>
                <c:pt idx="6">
                  <c:v>0.22500000000000003</c:v>
                </c:pt>
                <c:pt idx="7">
                  <c:v>0.21100000000000005</c:v>
                </c:pt>
                <c:pt idx="8">
                  <c:v>0.20300000000000001</c:v>
                </c:pt>
                <c:pt idx="9">
                  <c:v>0.19800000000000004</c:v>
                </c:pt>
                <c:pt idx="10">
                  <c:v>0.19600000000000004</c:v>
                </c:pt>
                <c:pt idx="11">
                  <c:v>0.19400000000000003</c:v>
                </c:pt>
                <c:pt idx="12">
                  <c:v>0.19200000000000003</c:v>
                </c:pt>
                <c:pt idx="13">
                  <c:v>0.19000000000000003</c:v>
                </c:pt>
                <c:pt idx="14">
                  <c:v>0.18800000000000006</c:v>
                </c:pt>
                <c:pt idx="15">
                  <c:v>0.18800000000000006</c:v>
                </c:pt>
                <c:pt idx="16">
                  <c:v>0.18700000000000006</c:v>
                </c:pt>
                <c:pt idx="17">
                  <c:v>0.18700000000000006</c:v>
                </c:pt>
                <c:pt idx="18">
                  <c:v>0.18700000000000006</c:v>
                </c:pt>
                <c:pt idx="19">
                  <c:v>0.18800000000000006</c:v>
                </c:pt>
                <c:pt idx="20">
                  <c:v>0.19000000000000003</c:v>
                </c:pt>
                <c:pt idx="21">
                  <c:v>0.19000000000000003</c:v>
                </c:pt>
                <c:pt idx="22">
                  <c:v>0.19000000000000003</c:v>
                </c:pt>
                <c:pt idx="23">
                  <c:v>0.19000000000000003</c:v>
                </c:pt>
                <c:pt idx="24">
                  <c:v>0.18800000000000006</c:v>
                </c:pt>
                <c:pt idx="25">
                  <c:v>0.18800000000000006</c:v>
                </c:pt>
                <c:pt idx="26">
                  <c:v>0.18900000000000006</c:v>
                </c:pt>
                <c:pt idx="27">
                  <c:v>0.18800000000000006</c:v>
                </c:pt>
                <c:pt idx="28">
                  <c:v>0.18800000000000006</c:v>
                </c:pt>
                <c:pt idx="29">
                  <c:v>0.18700000000000006</c:v>
                </c:pt>
                <c:pt idx="30">
                  <c:v>0.18800000000000006</c:v>
                </c:pt>
                <c:pt idx="31">
                  <c:v>0.19000000000000003</c:v>
                </c:pt>
                <c:pt idx="32">
                  <c:v>0.19000000000000003</c:v>
                </c:pt>
                <c:pt idx="33">
                  <c:v>0.19000000000000003</c:v>
                </c:pt>
                <c:pt idx="34">
                  <c:v>0.19000000000000003</c:v>
                </c:pt>
                <c:pt idx="35">
                  <c:v>0.18800000000000006</c:v>
                </c:pt>
                <c:pt idx="36">
                  <c:v>0.18600000000000005</c:v>
                </c:pt>
                <c:pt idx="37">
                  <c:v>0.18500000000000005</c:v>
                </c:pt>
                <c:pt idx="38">
                  <c:v>0.18600000000000005</c:v>
                </c:pt>
                <c:pt idx="39">
                  <c:v>0.19100000000000003</c:v>
                </c:pt>
              </c:numCache>
            </c:numRef>
          </c:val>
        </c:ser>
        <c:ser>
          <c:idx val="8"/>
          <c:order val="8"/>
          <c:tx>
            <c:strRef>
              <c:f>'Stationary targets'!$A$30</c:f>
              <c:strCache>
                <c:ptCount val="1"/>
                <c:pt idx="0">
                  <c:v>λ = 0.2</c:v>
                </c:pt>
              </c:strCache>
            </c:strRef>
          </c:tx>
          <c:spPr>
            <a:ln w="25400">
              <a:solidFill>
                <a:schemeClr val="tx1"/>
              </a:solidFill>
              <a:prstDash val="sysDot"/>
            </a:ln>
          </c:spPr>
          <c:marker>
            <c:symbol val="none"/>
          </c:marker>
          <c:cat>
            <c:numRef>
              <c:f>'Stationary targets'!$B$21:$AO$21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'Stationary targets'!$B$30:$AO$30</c:f>
              <c:numCache>
                <c:formatCode>General</c:formatCode>
                <c:ptCount val="40"/>
                <c:pt idx="0">
                  <c:v>0.75500000000000023</c:v>
                </c:pt>
                <c:pt idx="1">
                  <c:v>0.58800000000000008</c:v>
                </c:pt>
                <c:pt idx="2">
                  <c:v>0.47100000000000009</c:v>
                </c:pt>
                <c:pt idx="3">
                  <c:v>0.38700000000000012</c:v>
                </c:pt>
                <c:pt idx="4">
                  <c:v>0.32700000000000012</c:v>
                </c:pt>
                <c:pt idx="5">
                  <c:v>0.28200000000000008</c:v>
                </c:pt>
                <c:pt idx="6">
                  <c:v>0.24800000000000005</c:v>
                </c:pt>
                <c:pt idx="7">
                  <c:v>0.22400000000000003</c:v>
                </c:pt>
                <c:pt idx="8">
                  <c:v>0.20600000000000004</c:v>
                </c:pt>
                <c:pt idx="9">
                  <c:v>0.19300000000000003</c:v>
                </c:pt>
                <c:pt idx="10">
                  <c:v>0.18400000000000005</c:v>
                </c:pt>
                <c:pt idx="11">
                  <c:v>0.17600000000000005</c:v>
                </c:pt>
                <c:pt idx="12">
                  <c:v>0.17</c:v>
                </c:pt>
                <c:pt idx="13">
                  <c:v>0.16500000000000004</c:v>
                </c:pt>
                <c:pt idx="14">
                  <c:v>0.16100000000000003</c:v>
                </c:pt>
                <c:pt idx="15">
                  <c:v>0.15700000000000006</c:v>
                </c:pt>
                <c:pt idx="16">
                  <c:v>0.15400000000000005</c:v>
                </c:pt>
                <c:pt idx="17">
                  <c:v>0.15200000000000005</c:v>
                </c:pt>
                <c:pt idx="18">
                  <c:v>0.15000000000000005</c:v>
                </c:pt>
                <c:pt idx="19">
                  <c:v>0.15000000000000005</c:v>
                </c:pt>
                <c:pt idx="20">
                  <c:v>0.14900000000000005</c:v>
                </c:pt>
                <c:pt idx="21">
                  <c:v>0.14800000000000005</c:v>
                </c:pt>
                <c:pt idx="22">
                  <c:v>0.14700000000000005</c:v>
                </c:pt>
                <c:pt idx="23">
                  <c:v>0.14600000000000005</c:v>
                </c:pt>
                <c:pt idx="24">
                  <c:v>0.14500000000000005</c:v>
                </c:pt>
                <c:pt idx="25">
                  <c:v>0.14400000000000004</c:v>
                </c:pt>
                <c:pt idx="26">
                  <c:v>0.14400000000000004</c:v>
                </c:pt>
                <c:pt idx="27">
                  <c:v>0.14300000000000004</c:v>
                </c:pt>
                <c:pt idx="28">
                  <c:v>0.14200000000000004</c:v>
                </c:pt>
                <c:pt idx="29">
                  <c:v>0.14200000000000004</c:v>
                </c:pt>
                <c:pt idx="30">
                  <c:v>0.14300000000000004</c:v>
                </c:pt>
                <c:pt idx="31">
                  <c:v>0.14300000000000004</c:v>
                </c:pt>
                <c:pt idx="32">
                  <c:v>0.14400000000000004</c:v>
                </c:pt>
                <c:pt idx="33">
                  <c:v>0.14400000000000004</c:v>
                </c:pt>
                <c:pt idx="34">
                  <c:v>0.14600000000000005</c:v>
                </c:pt>
                <c:pt idx="35">
                  <c:v>0.14500000000000005</c:v>
                </c:pt>
                <c:pt idx="36">
                  <c:v>0.14400000000000004</c:v>
                </c:pt>
                <c:pt idx="37">
                  <c:v>0.14200000000000004</c:v>
                </c:pt>
                <c:pt idx="38">
                  <c:v>0.14000000000000001</c:v>
                </c:pt>
                <c:pt idx="39">
                  <c:v>0.14300000000000004</c:v>
                </c:pt>
              </c:numCache>
            </c:numRef>
          </c:val>
        </c:ser>
        <c:ser>
          <c:idx val="9"/>
          <c:order val="9"/>
          <c:tx>
            <c:strRef>
              <c:f>'Stationary targets'!$A$31</c:f>
              <c:strCache>
                <c:ptCount val="1"/>
                <c:pt idx="0">
                  <c:v>λ = 0.15</c:v>
                </c:pt>
              </c:strCache>
            </c:strRef>
          </c:tx>
          <c:spPr>
            <a:ln w="25400">
              <a:solidFill>
                <a:schemeClr val="tx1"/>
              </a:solidFill>
              <a:prstDash val="dash"/>
            </a:ln>
          </c:spPr>
          <c:marker>
            <c:symbol val="none"/>
          </c:marker>
          <c:cat>
            <c:numRef>
              <c:f>'Stationary targets'!$B$21:$AO$21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'Stationary targets'!$B$31:$AO$31</c:f>
              <c:numCache>
                <c:formatCode>General</c:formatCode>
                <c:ptCount val="40"/>
                <c:pt idx="0">
                  <c:v>0.76800000000000124</c:v>
                </c:pt>
                <c:pt idx="1">
                  <c:v>0.6010000000000002</c:v>
                </c:pt>
                <c:pt idx="2">
                  <c:v>0.47700000000000009</c:v>
                </c:pt>
                <c:pt idx="3">
                  <c:v>0.38500000000000012</c:v>
                </c:pt>
                <c:pt idx="4">
                  <c:v>0.31700000000000012</c:v>
                </c:pt>
                <c:pt idx="5">
                  <c:v>0.26400000000000001</c:v>
                </c:pt>
                <c:pt idx="6">
                  <c:v>0.22300000000000003</c:v>
                </c:pt>
                <c:pt idx="7">
                  <c:v>0.19100000000000003</c:v>
                </c:pt>
                <c:pt idx="8">
                  <c:v>0.16700000000000004</c:v>
                </c:pt>
                <c:pt idx="9">
                  <c:v>0.14900000000000005</c:v>
                </c:pt>
                <c:pt idx="10">
                  <c:v>0.13400000000000001</c:v>
                </c:pt>
                <c:pt idx="11">
                  <c:v>0.12200000000000003</c:v>
                </c:pt>
                <c:pt idx="12">
                  <c:v>0.11200000000000002</c:v>
                </c:pt>
                <c:pt idx="13">
                  <c:v>0.10400000000000002</c:v>
                </c:pt>
                <c:pt idx="14">
                  <c:v>9.7000000000000017E-2</c:v>
                </c:pt>
                <c:pt idx="15">
                  <c:v>9.1000000000000025E-2</c:v>
                </c:pt>
                <c:pt idx="16">
                  <c:v>8.7000000000000022E-2</c:v>
                </c:pt>
                <c:pt idx="17">
                  <c:v>8.3000000000000157E-2</c:v>
                </c:pt>
                <c:pt idx="18">
                  <c:v>8.0000000000000127E-2</c:v>
                </c:pt>
                <c:pt idx="19">
                  <c:v>7.8000000000000014E-2</c:v>
                </c:pt>
                <c:pt idx="20">
                  <c:v>7.6000000000000012E-2</c:v>
                </c:pt>
                <c:pt idx="21">
                  <c:v>7.3000000000000009E-2</c:v>
                </c:pt>
                <c:pt idx="22">
                  <c:v>7.2000000000000119E-2</c:v>
                </c:pt>
                <c:pt idx="23">
                  <c:v>7.1000000000000008E-2</c:v>
                </c:pt>
                <c:pt idx="24">
                  <c:v>7.0000000000000021E-2</c:v>
                </c:pt>
                <c:pt idx="25">
                  <c:v>6.8000000000000019E-2</c:v>
                </c:pt>
                <c:pt idx="26">
                  <c:v>6.7000000000000129E-2</c:v>
                </c:pt>
                <c:pt idx="27">
                  <c:v>6.6000000000000003E-2</c:v>
                </c:pt>
                <c:pt idx="28">
                  <c:v>6.5000000000000113E-2</c:v>
                </c:pt>
                <c:pt idx="29">
                  <c:v>6.4000000000000112E-2</c:v>
                </c:pt>
                <c:pt idx="30">
                  <c:v>6.5000000000000113E-2</c:v>
                </c:pt>
                <c:pt idx="31">
                  <c:v>6.5000000000000113E-2</c:v>
                </c:pt>
                <c:pt idx="32">
                  <c:v>6.4000000000000112E-2</c:v>
                </c:pt>
                <c:pt idx="33">
                  <c:v>6.5000000000000113E-2</c:v>
                </c:pt>
                <c:pt idx="34">
                  <c:v>6.5000000000000113E-2</c:v>
                </c:pt>
                <c:pt idx="35">
                  <c:v>6.4000000000000112E-2</c:v>
                </c:pt>
                <c:pt idx="36">
                  <c:v>6.3000000000000014E-2</c:v>
                </c:pt>
                <c:pt idx="37">
                  <c:v>6.200000000000002E-2</c:v>
                </c:pt>
                <c:pt idx="38">
                  <c:v>6.3000000000000014E-2</c:v>
                </c:pt>
                <c:pt idx="39">
                  <c:v>6.9000000000000131E-2</c:v>
                </c:pt>
              </c:numCache>
            </c:numRef>
          </c:val>
        </c:ser>
        <c:ser>
          <c:idx val="10"/>
          <c:order val="10"/>
          <c:tx>
            <c:strRef>
              <c:f>'Stationary targets'!$A$32</c:f>
              <c:strCache>
                <c:ptCount val="1"/>
                <c:pt idx="0">
                  <c:v>λ = 0.1</c:v>
                </c:pt>
              </c:strCache>
            </c:strRef>
          </c:tx>
          <c:spPr>
            <a:ln w="50800">
              <a:solidFill>
                <a:schemeClr val="tx1"/>
              </a:solidFill>
              <a:prstDash val="sysDot"/>
            </a:ln>
          </c:spPr>
          <c:marker>
            <c:symbol val="none"/>
          </c:marker>
          <c:cat>
            <c:numRef>
              <c:f>'Stationary targets'!$B$21:$AO$21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'Stationary targets'!$B$32:$AO$32</c:f>
              <c:numCache>
                <c:formatCode>General</c:formatCode>
                <c:ptCount val="40"/>
                <c:pt idx="0">
                  <c:v>0.81699999999999995</c:v>
                </c:pt>
                <c:pt idx="1">
                  <c:v>0.67200000000000126</c:v>
                </c:pt>
                <c:pt idx="2">
                  <c:v>0.55700000000000005</c:v>
                </c:pt>
                <c:pt idx="3">
                  <c:v>0.46400000000000002</c:v>
                </c:pt>
                <c:pt idx="4">
                  <c:v>0.39000000000000012</c:v>
                </c:pt>
                <c:pt idx="5">
                  <c:v>0.32900000000000013</c:v>
                </c:pt>
                <c:pt idx="6">
                  <c:v>0.27900000000000008</c:v>
                </c:pt>
                <c:pt idx="7">
                  <c:v>0.24000000000000005</c:v>
                </c:pt>
                <c:pt idx="8">
                  <c:v>0.20800000000000005</c:v>
                </c:pt>
                <c:pt idx="9">
                  <c:v>0.18100000000000005</c:v>
                </c:pt>
                <c:pt idx="10">
                  <c:v>0.15900000000000006</c:v>
                </c:pt>
                <c:pt idx="11">
                  <c:v>0.14000000000000001</c:v>
                </c:pt>
                <c:pt idx="12">
                  <c:v>0.125</c:v>
                </c:pt>
                <c:pt idx="13">
                  <c:v>0.11200000000000002</c:v>
                </c:pt>
                <c:pt idx="14">
                  <c:v>0.1</c:v>
                </c:pt>
                <c:pt idx="15">
                  <c:v>9.0000000000000024E-2</c:v>
                </c:pt>
                <c:pt idx="16">
                  <c:v>8.2000000000000003E-2</c:v>
                </c:pt>
                <c:pt idx="17">
                  <c:v>7.5000000000000011E-2</c:v>
                </c:pt>
                <c:pt idx="18">
                  <c:v>6.9000000000000131E-2</c:v>
                </c:pt>
                <c:pt idx="19">
                  <c:v>6.5000000000000113E-2</c:v>
                </c:pt>
                <c:pt idx="20">
                  <c:v>6.1000000000000013E-2</c:v>
                </c:pt>
                <c:pt idx="21">
                  <c:v>5.6000000000000008E-2</c:v>
                </c:pt>
                <c:pt idx="22">
                  <c:v>5.3000000000000012E-2</c:v>
                </c:pt>
                <c:pt idx="23">
                  <c:v>5.0000000000000017E-2</c:v>
                </c:pt>
                <c:pt idx="24">
                  <c:v>4.7000000000000014E-2</c:v>
                </c:pt>
                <c:pt idx="25">
                  <c:v>4.6000000000000013E-2</c:v>
                </c:pt>
                <c:pt idx="26">
                  <c:v>4.4000000000000011E-2</c:v>
                </c:pt>
                <c:pt idx="27">
                  <c:v>4.2000000000000016E-2</c:v>
                </c:pt>
                <c:pt idx="28">
                  <c:v>4.1000000000000002E-2</c:v>
                </c:pt>
                <c:pt idx="29">
                  <c:v>3.9000000000000014E-2</c:v>
                </c:pt>
                <c:pt idx="30">
                  <c:v>3.9000000000000014E-2</c:v>
                </c:pt>
                <c:pt idx="31">
                  <c:v>3.8000000000000006E-2</c:v>
                </c:pt>
                <c:pt idx="32">
                  <c:v>3.7000000000000012E-2</c:v>
                </c:pt>
                <c:pt idx="33">
                  <c:v>3.7000000000000012E-2</c:v>
                </c:pt>
                <c:pt idx="34">
                  <c:v>3.7000000000000012E-2</c:v>
                </c:pt>
                <c:pt idx="35">
                  <c:v>3.6000000000000011E-2</c:v>
                </c:pt>
                <c:pt idx="36">
                  <c:v>3.500000000000001E-2</c:v>
                </c:pt>
                <c:pt idx="37">
                  <c:v>3.3000000000000002E-2</c:v>
                </c:pt>
                <c:pt idx="38">
                  <c:v>3.3000000000000002E-2</c:v>
                </c:pt>
                <c:pt idx="39">
                  <c:v>3.4000000000000002E-2</c:v>
                </c:pt>
              </c:numCache>
            </c:numRef>
          </c:val>
        </c:ser>
        <c:marker val="1"/>
        <c:axId val="69296896"/>
        <c:axId val="69298816"/>
      </c:lineChart>
      <c:catAx>
        <c:axId val="69296896"/>
        <c:scaling>
          <c:orientation val="minMax"/>
        </c:scaling>
        <c:axPos val="b"/>
        <c:title>
          <c:tx>
            <c:rich>
              <a:bodyPr/>
              <a:lstStyle/>
              <a:p>
                <a:pPr>
                  <a:defRPr lang="en-IN"/>
                </a:pPr>
                <a:r>
                  <a:rPr lang="en-US" b="0" i="1"/>
                  <a:t>T</a:t>
                </a:r>
                <a:r>
                  <a:rPr lang="en-US" b="0"/>
                  <a:t>,</a:t>
                </a:r>
                <a:r>
                  <a:rPr lang="en-US" b="0" baseline="0"/>
                  <a:t> years between cross sections</a:t>
                </a:r>
                <a:endParaRPr lang="en-US" b="0"/>
              </a:p>
            </c:rich>
          </c:tx>
        </c:title>
        <c:numFmt formatCode="General" sourceLinked="1"/>
        <c:tickLblPos val="nextTo"/>
        <c:txPr>
          <a:bodyPr/>
          <a:lstStyle/>
          <a:p>
            <a:pPr>
              <a:defRPr lang="en-IN"/>
            </a:pPr>
            <a:endParaRPr lang="en-US"/>
          </a:p>
        </c:txPr>
        <c:crossAx val="69298816"/>
        <c:crosses val="autoZero"/>
        <c:auto val="1"/>
        <c:lblAlgn val="ctr"/>
        <c:lblOffset val="100"/>
        <c:tickLblSkip val="2"/>
      </c:catAx>
      <c:valAx>
        <c:axId val="69298816"/>
        <c:scaling>
          <c:orientation val="minMax"/>
        </c:scaling>
        <c:axPos val="l"/>
        <c:majorGridlines/>
        <c:title>
          <c:tx>
            <c:rich>
              <a:bodyPr rot="-5400000" vert="horz"/>
              <a:lstStyle/>
              <a:p>
                <a:pPr>
                  <a:defRPr lang="en-IN"/>
                </a:pPr>
                <a:r>
                  <a:rPr lang="en-US" b="0" i="1"/>
                  <a:t>R</a:t>
                </a:r>
                <a:r>
                  <a:rPr lang="en-US" b="0" i="1" baseline="30000"/>
                  <a:t>2</a:t>
                </a:r>
                <a:endParaRPr lang="en-US" b="0" i="1"/>
              </a:p>
            </c:rich>
          </c:tx>
        </c:title>
        <c:numFmt formatCode="General" sourceLinked="1"/>
        <c:tickLblPos val="nextTo"/>
        <c:txPr>
          <a:bodyPr/>
          <a:lstStyle/>
          <a:p>
            <a:pPr>
              <a:defRPr lang="en-IN"/>
            </a:pPr>
            <a:endParaRPr lang="en-US"/>
          </a:p>
        </c:txPr>
        <c:crossAx val="69296896"/>
        <c:crosses val="autoZero"/>
        <c:crossBetween val="between"/>
      </c:valAx>
    </c:plotArea>
    <c:legend>
      <c:legendPos val="t"/>
      <c:txPr>
        <a:bodyPr/>
        <a:lstStyle/>
        <a:p>
          <a:pPr>
            <a:defRPr lang="en-IN"/>
          </a:pPr>
          <a:endParaRPr lang="en-US"/>
        </a:p>
      </c:txPr>
    </c:legend>
    <c:plotVisOnly val="1"/>
    <c:dispBlanksAs val="gap"/>
  </c:chart>
  <c:spPr>
    <a:ln w="0">
      <a:noFill/>
    </a:ln>
  </c:spPr>
  <c:txPr>
    <a:bodyPr/>
    <a:lstStyle/>
    <a:p>
      <a:pPr>
        <a:defRPr>
          <a:latin typeface="Times New Roman"/>
          <a:cs typeface="Times New Roman"/>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consolidated diagram'!$B$42</c:f>
              <c:strCache>
                <c:ptCount val="1"/>
                <c:pt idx="0">
                  <c:v>TotDebttoTA</c:v>
                </c:pt>
              </c:strCache>
            </c:strRef>
          </c:tx>
          <c:spPr>
            <a:ln>
              <a:solidFill>
                <a:schemeClr val="tx1"/>
              </a:solidFill>
            </a:ln>
          </c:spPr>
          <c:marker>
            <c:symbol val="none"/>
          </c:marker>
          <c:cat>
            <c:numRef>
              <c:f>'HD consolidated diagram'!$C$41:$CW$41</c:f>
              <c:numCache>
                <c:formatCode>0</c:formatCode>
                <c:ptCount val="99"/>
                <c:pt idx="0">
                  <c:v>1907</c:v>
                </c:pt>
                <c:pt idx="1">
                  <c:v>1908</c:v>
                </c:pt>
                <c:pt idx="2">
                  <c:v>1908</c:v>
                </c:pt>
                <c:pt idx="3">
                  <c:v>1909</c:v>
                </c:pt>
                <c:pt idx="4">
                  <c:v>1910</c:v>
                </c:pt>
                <c:pt idx="5">
                  <c:v>1911</c:v>
                </c:pt>
                <c:pt idx="6">
                  <c:v>1912</c:v>
                </c:pt>
                <c:pt idx="7">
                  <c:v>1913</c:v>
                </c:pt>
                <c:pt idx="8">
                  <c:v>1914</c:v>
                </c:pt>
                <c:pt idx="9">
                  <c:v>1915</c:v>
                </c:pt>
                <c:pt idx="10">
                  <c:v>1916</c:v>
                </c:pt>
                <c:pt idx="11">
                  <c:v>1917</c:v>
                </c:pt>
                <c:pt idx="12">
                  <c:v>1918</c:v>
                </c:pt>
                <c:pt idx="13">
                  <c:v>1919</c:v>
                </c:pt>
                <c:pt idx="14">
                  <c:v>1920</c:v>
                </c:pt>
                <c:pt idx="15">
                  <c:v>1921</c:v>
                </c:pt>
                <c:pt idx="16">
                  <c:v>1922</c:v>
                </c:pt>
                <c:pt idx="17">
                  <c:v>1923</c:v>
                </c:pt>
                <c:pt idx="18">
                  <c:v>1924</c:v>
                </c:pt>
                <c:pt idx="19">
                  <c:v>1925</c:v>
                </c:pt>
                <c:pt idx="20">
                  <c:v>1926</c:v>
                </c:pt>
                <c:pt idx="21">
                  <c:v>1927</c:v>
                </c:pt>
                <c:pt idx="22">
                  <c:v>1928</c:v>
                </c:pt>
                <c:pt idx="23">
                  <c:v>1929</c:v>
                </c:pt>
                <c:pt idx="24">
                  <c:v>1930</c:v>
                </c:pt>
                <c:pt idx="25">
                  <c:v>1931</c:v>
                </c:pt>
                <c:pt idx="26">
                  <c:v>1932</c:v>
                </c:pt>
                <c:pt idx="27">
                  <c:v>1933</c:v>
                </c:pt>
                <c:pt idx="28">
                  <c:v>1934</c:v>
                </c:pt>
                <c:pt idx="29">
                  <c:v>1935</c:v>
                </c:pt>
                <c:pt idx="30">
                  <c:v>1936</c:v>
                </c:pt>
                <c:pt idx="31">
                  <c:v>1937</c:v>
                </c:pt>
                <c:pt idx="32">
                  <c:v>1938</c:v>
                </c:pt>
                <c:pt idx="33">
                  <c:v>1939</c:v>
                </c:pt>
                <c:pt idx="34">
                  <c:v>1940</c:v>
                </c:pt>
                <c:pt idx="35">
                  <c:v>1941</c:v>
                </c:pt>
                <c:pt idx="36">
                  <c:v>1942</c:v>
                </c:pt>
                <c:pt idx="37">
                  <c:v>1943</c:v>
                </c:pt>
                <c:pt idx="38">
                  <c:v>1944</c:v>
                </c:pt>
                <c:pt idx="39">
                  <c:v>1945</c:v>
                </c:pt>
                <c:pt idx="40">
                  <c:v>1946</c:v>
                </c:pt>
                <c:pt idx="41">
                  <c:v>1947</c:v>
                </c:pt>
                <c:pt idx="42">
                  <c:v>1948</c:v>
                </c:pt>
                <c:pt idx="43">
                  <c:v>1949</c:v>
                </c:pt>
                <c:pt idx="44">
                  <c:v>1950</c:v>
                </c:pt>
                <c:pt idx="45">
                  <c:v>1951</c:v>
                </c:pt>
                <c:pt idx="46">
                  <c:v>1952</c:v>
                </c:pt>
                <c:pt idx="47">
                  <c:v>1953</c:v>
                </c:pt>
                <c:pt idx="48">
                  <c:v>1954</c:v>
                </c:pt>
                <c:pt idx="49">
                  <c:v>1955</c:v>
                </c:pt>
                <c:pt idx="50">
                  <c:v>1956</c:v>
                </c:pt>
                <c:pt idx="51">
                  <c:v>1957</c:v>
                </c:pt>
                <c:pt idx="52">
                  <c:v>1958</c:v>
                </c:pt>
                <c:pt idx="53">
                  <c:v>1959</c:v>
                </c:pt>
                <c:pt idx="54">
                  <c:v>1960</c:v>
                </c:pt>
                <c:pt idx="55">
                  <c:v>1961</c:v>
                </c:pt>
                <c:pt idx="56">
                  <c:v>1962</c:v>
                </c:pt>
                <c:pt idx="57">
                  <c:v>1963</c:v>
                </c:pt>
                <c:pt idx="58">
                  <c:v>1964</c:v>
                </c:pt>
                <c:pt idx="59">
                  <c:v>1965</c:v>
                </c:pt>
                <c:pt idx="60">
                  <c:v>1966</c:v>
                </c:pt>
                <c:pt idx="61">
                  <c:v>1967</c:v>
                </c:pt>
                <c:pt idx="62">
                  <c:v>1968</c:v>
                </c:pt>
                <c:pt idx="63">
                  <c:v>1969</c:v>
                </c:pt>
                <c:pt idx="64">
                  <c:v>1970</c:v>
                </c:pt>
                <c:pt idx="65">
                  <c:v>1971</c:v>
                </c:pt>
                <c:pt idx="66">
                  <c:v>1972</c:v>
                </c:pt>
                <c:pt idx="67">
                  <c:v>1973</c:v>
                </c:pt>
                <c:pt idx="68">
                  <c:v>1974</c:v>
                </c:pt>
                <c:pt idx="69">
                  <c:v>1975</c:v>
                </c:pt>
                <c:pt idx="70">
                  <c:v>1976</c:v>
                </c:pt>
                <c:pt idx="71">
                  <c:v>1977</c:v>
                </c:pt>
                <c:pt idx="72">
                  <c:v>1978</c:v>
                </c:pt>
                <c:pt idx="73">
                  <c:v>1979</c:v>
                </c:pt>
                <c:pt idx="74">
                  <c:v>1980</c:v>
                </c:pt>
                <c:pt idx="75">
                  <c:v>1981</c:v>
                </c:pt>
                <c:pt idx="76">
                  <c:v>1982</c:v>
                </c:pt>
                <c:pt idx="77">
                  <c:v>1983</c:v>
                </c:pt>
                <c:pt idx="78">
                  <c:v>1984</c:v>
                </c:pt>
                <c:pt idx="79">
                  <c:v>1985</c:v>
                </c:pt>
                <c:pt idx="80">
                  <c:v>1986</c:v>
                </c:pt>
                <c:pt idx="81">
                  <c:v>1987</c:v>
                </c:pt>
                <c:pt idx="82">
                  <c:v>1988</c:v>
                </c:pt>
                <c:pt idx="83">
                  <c:v>1989</c:v>
                </c:pt>
                <c:pt idx="84">
                  <c:v>1990</c:v>
                </c:pt>
                <c:pt idx="85">
                  <c:v>1991</c:v>
                </c:pt>
                <c:pt idx="86">
                  <c:v>1992</c:v>
                </c:pt>
                <c:pt idx="87">
                  <c:v>1993</c:v>
                </c:pt>
                <c:pt idx="88">
                  <c:v>1994</c:v>
                </c:pt>
                <c:pt idx="89">
                  <c:v>1995</c:v>
                </c:pt>
                <c:pt idx="90">
                  <c:v>1996</c:v>
                </c:pt>
                <c:pt idx="91">
                  <c:v>1997</c:v>
                </c:pt>
                <c:pt idx="92">
                  <c:v>1998</c:v>
                </c:pt>
                <c:pt idx="93">
                  <c:v>1999</c:v>
                </c:pt>
                <c:pt idx="94">
                  <c:v>2000</c:v>
                </c:pt>
                <c:pt idx="95">
                  <c:v>2001</c:v>
                </c:pt>
                <c:pt idx="96">
                  <c:v>2002</c:v>
                </c:pt>
                <c:pt idx="97">
                  <c:v>2003</c:v>
                </c:pt>
                <c:pt idx="98">
                  <c:v>2004</c:v>
                </c:pt>
              </c:numCache>
            </c:numRef>
          </c:cat>
          <c:val>
            <c:numRef>
              <c:f>'HD consolidated diagram'!$C$42:$CW$42</c:f>
              <c:numCache>
                <c:formatCode>#,##0.000</c:formatCode>
                <c:ptCount val="99"/>
                <c:pt idx="0">
                  <c:v>2.16265689280352E-2</c:v>
                </c:pt>
                <c:pt idx="1">
                  <c:v>3.1393424855251803E-2</c:v>
                </c:pt>
                <c:pt idx="2">
                  <c:v>0</c:v>
                </c:pt>
                <c:pt idx="3">
                  <c:v>0</c:v>
                </c:pt>
                <c:pt idx="4">
                  <c:v>1.7299328466623399E-2</c:v>
                </c:pt>
                <c:pt idx="5">
                  <c:v>0</c:v>
                </c:pt>
                <c:pt idx="6">
                  <c:v>0</c:v>
                </c:pt>
                <c:pt idx="7">
                  <c:v>6.2537821681397099E-2</c:v>
                </c:pt>
                <c:pt idx="8">
                  <c:v>1.2865860296871704E-2</c:v>
                </c:pt>
                <c:pt idx="9">
                  <c:v>0</c:v>
                </c:pt>
                <c:pt idx="10">
                  <c:v>2.9201345450451017E-2</c:v>
                </c:pt>
                <c:pt idx="11">
                  <c:v>0.15172208713568006</c:v>
                </c:pt>
                <c:pt idx="12">
                  <c:v>0.14413307221576693</c:v>
                </c:pt>
                <c:pt idx="13">
                  <c:v>6.3294559840558109E-2</c:v>
                </c:pt>
                <c:pt idx="14">
                  <c:v>0.4099401916151531</c:v>
                </c:pt>
                <c:pt idx="15">
                  <c:v>0.3451228703315361</c:v>
                </c:pt>
                <c:pt idx="16">
                  <c:v>0.114376089828876</c:v>
                </c:pt>
                <c:pt idx="17">
                  <c:v>5.340325065342192E-2</c:v>
                </c:pt>
                <c:pt idx="18">
                  <c:v>0</c:v>
                </c:pt>
                <c:pt idx="19">
                  <c:v>0</c:v>
                </c:pt>
                <c:pt idx="20">
                  <c:v>0</c:v>
                </c:pt>
                <c:pt idx="21">
                  <c:v>0</c:v>
                </c:pt>
                <c:pt idx="22">
                  <c:v>6.4506191539784014E-2</c:v>
                </c:pt>
                <c:pt idx="23">
                  <c:v>0.12633419938857496</c:v>
                </c:pt>
                <c:pt idx="24">
                  <c:v>7.2788488908762133E-2</c:v>
                </c:pt>
                <c:pt idx="25">
                  <c:v>5.2532797788182019E-2</c:v>
                </c:pt>
                <c:pt idx="26">
                  <c:v>0.123212831621962</c:v>
                </c:pt>
                <c:pt idx="27">
                  <c:v>0.13776144111355401</c:v>
                </c:pt>
                <c:pt idx="28">
                  <c:v>8.699377716267119E-2</c:v>
                </c:pt>
                <c:pt idx="29">
                  <c:v>6.8594191201958504E-2</c:v>
                </c:pt>
                <c:pt idx="30">
                  <c:v>2.8453089093181997E-3</c:v>
                </c:pt>
                <c:pt idx="31">
                  <c:v>2.8448954455551202E-3</c:v>
                </c:pt>
                <c:pt idx="32">
                  <c:v>2.8142775110866001E-3</c:v>
                </c:pt>
                <c:pt idx="33">
                  <c:v>2.0087101092012307E-2</c:v>
                </c:pt>
                <c:pt idx="34">
                  <c:v>0</c:v>
                </c:pt>
                <c:pt idx="35">
                  <c:v>0</c:v>
                </c:pt>
                <c:pt idx="36">
                  <c:v>0</c:v>
                </c:pt>
                <c:pt idx="37">
                  <c:v>2.3449795471846917E-3</c:v>
                </c:pt>
                <c:pt idx="38">
                  <c:v>1.0595306562782999E-3</c:v>
                </c:pt>
                <c:pt idx="39">
                  <c:v>0</c:v>
                </c:pt>
                <c:pt idx="40">
                  <c:v>0</c:v>
                </c:pt>
                <c:pt idx="41">
                  <c:v>0</c:v>
                </c:pt>
                <c:pt idx="42">
                  <c:v>0</c:v>
                </c:pt>
                <c:pt idx="43">
                  <c:v>0</c:v>
                </c:pt>
                <c:pt idx="44">
                  <c:v>0</c:v>
                </c:pt>
                <c:pt idx="45">
                  <c:v>0.14718975693528794</c:v>
                </c:pt>
                <c:pt idx="46">
                  <c:v>0.13377538329624206</c:v>
                </c:pt>
                <c:pt idx="47">
                  <c:v>0.12673409919408499</c:v>
                </c:pt>
                <c:pt idx="48">
                  <c:v>0.11544475115491699</c:v>
                </c:pt>
                <c:pt idx="49">
                  <c:v>0.10387866150863299</c:v>
                </c:pt>
                <c:pt idx="50">
                  <c:v>5.7832397664872512E-2</c:v>
                </c:pt>
                <c:pt idx="51">
                  <c:v>9.3145154759183724E-2</c:v>
                </c:pt>
                <c:pt idx="52">
                  <c:v>0.22622779586267699</c:v>
                </c:pt>
                <c:pt idx="53">
                  <c:v>0.22490905873554501</c:v>
                </c:pt>
                <c:pt idx="54">
                  <c:v>0.22262231103812397</c:v>
                </c:pt>
                <c:pt idx="55">
                  <c:v>0.23981121376484699</c:v>
                </c:pt>
                <c:pt idx="56">
                  <c:v>0.26883024675114803</c:v>
                </c:pt>
                <c:pt idx="57">
                  <c:v>0.21289563558794611</c:v>
                </c:pt>
                <c:pt idx="58">
                  <c:v>0.23612762993446196</c:v>
                </c:pt>
                <c:pt idx="59">
                  <c:v>0.26340411818815301</c:v>
                </c:pt>
                <c:pt idx="60">
                  <c:v>0.26955285659393291</c:v>
                </c:pt>
                <c:pt idx="61">
                  <c:v>0.26580860710512311</c:v>
                </c:pt>
                <c:pt idx="62">
                  <c:v>0.25836010758771211</c:v>
                </c:pt>
                <c:pt idx="63">
                  <c:v>0.25405494775619186</c:v>
                </c:pt>
                <c:pt idx="64">
                  <c:v>0.25421451458621303</c:v>
                </c:pt>
                <c:pt idx="65">
                  <c:v>0.24592379136095999</c:v>
                </c:pt>
                <c:pt idx="66">
                  <c:v>0.25019127045604189</c:v>
                </c:pt>
                <c:pt idx="67">
                  <c:v>0.26515723356443199</c:v>
                </c:pt>
                <c:pt idx="68">
                  <c:v>0.29982770915119811</c:v>
                </c:pt>
                <c:pt idx="69">
                  <c:v>0.26729502558556689</c:v>
                </c:pt>
                <c:pt idx="70">
                  <c:v>0.26934359096146498</c:v>
                </c:pt>
                <c:pt idx="71">
                  <c:v>0.29325993650011589</c:v>
                </c:pt>
                <c:pt idx="72">
                  <c:v>0.27552895574552411</c:v>
                </c:pt>
                <c:pt idx="73">
                  <c:v>0.28186202709003311</c:v>
                </c:pt>
                <c:pt idx="74">
                  <c:v>0.27399099163614998</c:v>
                </c:pt>
                <c:pt idx="75">
                  <c:v>0.30817588083597325</c:v>
                </c:pt>
                <c:pt idx="76">
                  <c:v>0.29040676254673498</c:v>
                </c:pt>
                <c:pt idx="77">
                  <c:v>0.33868780318805436</c:v>
                </c:pt>
                <c:pt idx="78">
                  <c:v>0.3990555346270101</c:v>
                </c:pt>
                <c:pt idx="79">
                  <c:v>0.41460693273910598</c:v>
                </c:pt>
                <c:pt idx="80">
                  <c:v>0.32244505223920911</c:v>
                </c:pt>
                <c:pt idx="81">
                  <c:v>0.33945404333590823</c:v>
                </c:pt>
                <c:pt idx="82">
                  <c:v>0.2971497698571941</c:v>
                </c:pt>
                <c:pt idx="83">
                  <c:v>0.311521232218333</c:v>
                </c:pt>
                <c:pt idx="84">
                  <c:v>0.3299405316001201</c:v>
                </c:pt>
                <c:pt idx="85">
                  <c:v>0.31913152465171191</c:v>
                </c:pt>
                <c:pt idx="86">
                  <c:v>0.21958933693437307</c:v>
                </c:pt>
                <c:pt idx="87">
                  <c:v>0.19662077486735693</c:v>
                </c:pt>
                <c:pt idx="88">
                  <c:v>0.18547053190563201</c:v>
                </c:pt>
                <c:pt idx="89">
                  <c:v>0.51684274071838199</c:v>
                </c:pt>
                <c:pt idx="90">
                  <c:v>0.50985705200873921</c:v>
                </c:pt>
                <c:pt idx="91">
                  <c:v>0.53850129198966379</c:v>
                </c:pt>
                <c:pt idx="92">
                  <c:v>0.52207033842070405</c:v>
                </c:pt>
                <c:pt idx="93">
                  <c:v>0.48812036586045532</c:v>
                </c:pt>
                <c:pt idx="94">
                  <c:v>0.48402395728893011</c:v>
                </c:pt>
                <c:pt idx="95">
                  <c:v>0.5784461944626218</c:v>
                </c:pt>
                <c:pt idx="96">
                  <c:v>0.60776845404590518</c:v>
                </c:pt>
                <c:pt idx="97">
                  <c:v>0.29581935576973112</c:v>
                </c:pt>
                <c:pt idx="98">
                  <c:v>0.19969742813918301</c:v>
                </c:pt>
              </c:numCache>
            </c:numRef>
          </c:val>
        </c:ser>
        <c:marker val="1"/>
        <c:axId val="3198976"/>
        <c:axId val="3200512"/>
      </c:lineChart>
      <c:catAx>
        <c:axId val="3198976"/>
        <c:scaling>
          <c:orientation val="minMax"/>
        </c:scaling>
        <c:axPos val="b"/>
        <c:numFmt formatCode="0" sourceLinked="1"/>
        <c:tickLblPos val="nextTo"/>
        <c:txPr>
          <a:bodyPr/>
          <a:lstStyle/>
          <a:p>
            <a:pPr>
              <a:defRPr lang="en-IN"/>
            </a:pPr>
            <a:endParaRPr lang="en-US"/>
          </a:p>
        </c:txPr>
        <c:crossAx val="3200512"/>
        <c:crosses val="autoZero"/>
        <c:auto val="1"/>
        <c:lblAlgn val="ctr"/>
        <c:lblOffset val="100"/>
      </c:catAx>
      <c:valAx>
        <c:axId val="3200512"/>
        <c:scaling>
          <c:orientation val="minMax"/>
        </c:scaling>
        <c:axPos val="l"/>
        <c:majorGridlines/>
        <c:numFmt formatCode="#,##0.000" sourceLinked="1"/>
        <c:tickLblPos val="nextTo"/>
        <c:txPr>
          <a:bodyPr/>
          <a:lstStyle/>
          <a:p>
            <a:pPr>
              <a:defRPr lang="en-IN"/>
            </a:pPr>
            <a:endParaRPr lang="en-US"/>
          </a:p>
        </c:txPr>
        <c:crossAx val="3198976"/>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cons diagram'!$B$29</c:f>
              <c:strCache>
                <c:ptCount val="1"/>
                <c:pt idx="0">
                  <c:v>TotDebttoTA </c:v>
                </c:pt>
              </c:strCache>
            </c:strRef>
          </c:tx>
          <c:spPr>
            <a:ln>
              <a:solidFill>
                <a:schemeClr val="tx1"/>
              </a:solidFill>
            </a:ln>
          </c:spPr>
          <c:marker>
            <c:symbol val="none"/>
          </c:marker>
          <c:cat>
            <c:numRef>
              <c:f>'HD cons diagram'!$C$28:$CU$28</c:f>
              <c:numCache>
                <c:formatCode>General</c:formatCode>
                <c:ptCount val="97"/>
                <c:pt idx="0">
                  <c:v>1913</c:v>
                </c:pt>
                <c:pt idx="1">
                  <c:v>1914</c:v>
                </c:pt>
                <c:pt idx="2">
                  <c:v>1915</c:v>
                </c:pt>
                <c:pt idx="3">
                  <c:v>1916</c:v>
                </c:pt>
                <c:pt idx="4">
                  <c:v>1917</c:v>
                </c:pt>
                <c:pt idx="5">
                  <c:v>1918</c:v>
                </c:pt>
                <c:pt idx="6">
                  <c:v>1919</c:v>
                </c:pt>
                <c:pt idx="7">
                  <c:v>1920</c:v>
                </c:pt>
                <c:pt idx="8">
                  <c:v>1921</c:v>
                </c:pt>
                <c:pt idx="9">
                  <c:v>1922</c:v>
                </c:pt>
                <c:pt idx="10">
                  <c:v>1923</c:v>
                </c:pt>
                <c:pt idx="11">
                  <c:v>1924</c:v>
                </c:pt>
                <c:pt idx="12">
                  <c:v>1925</c:v>
                </c:pt>
                <c:pt idx="13">
                  <c:v>1926</c:v>
                </c:pt>
                <c:pt idx="14">
                  <c:v>1927</c:v>
                </c:pt>
                <c:pt idx="15">
                  <c:v>1928</c:v>
                </c:pt>
                <c:pt idx="16">
                  <c:v>1929</c:v>
                </c:pt>
                <c:pt idx="17">
                  <c:v>1930</c:v>
                </c:pt>
                <c:pt idx="18">
                  <c:v>1931</c:v>
                </c:pt>
                <c:pt idx="19">
                  <c:v>1932</c:v>
                </c:pt>
                <c:pt idx="20">
                  <c:v>1933</c:v>
                </c:pt>
                <c:pt idx="21">
                  <c:v>1934</c:v>
                </c:pt>
                <c:pt idx="22">
                  <c:v>1935</c:v>
                </c:pt>
                <c:pt idx="23">
                  <c:v>1936</c:v>
                </c:pt>
                <c:pt idx="24">
                  <c:v>1937</c:v>
                </c:pt>
                <c:pt idx="25">
                  <c:v>1938</c:v>
                </c:pt>
                <c:pt idx="26">
                  <c:v>1939</c:v>
                </c:pt>
                <c:pt idx="27">
                  <c:v>1940</c:v>
                </c:pt>
                <c:pt idx="28">
                  <c:v>1941</c:v>
                </c:pt>
                <c:pt idx="29">
                  <c:v>1942</c:v>
                </c:pt>
                <c:pt idx="30">
                  <c:v>1943</c:v>
                </c:pt>
                <c:pt idx="31">
                  <c:v>1944</c:v>
                </c:pt>
                <c:pt idx="32">
                  <c:v>1945</c:v>
                </c:pt>
                <c:pt idx="33">
                  <c:v>1946</c:v>
                </c:pt>
                <c:pt idx="34">
                  <c:v>1947</c:v>
                </c:pt>
                <c:pt idx="35">
                  <c:v>1948</c:v>
                </c:pt>
                <c:pt idx="36">
                  <c:v>1949</c:v>
                </c:pt>
                <c:pt idx="37">
                  <c:v>1950</c:v>
                </c:pt>
                <c:pt idx="38">
                  <c:v>1951</c:v>
                </c:pt>
                <c:pt idx="39">
                  <c:v>1952</c:v>
                </c:pt>
                <c:pt idx="40">
                  <c:v>1953</c:v>
                </c:pt>
                <c:pt idx="41">
                  <c:v>1954</c:v>
                </c:pt>
                <c:pt idx="42">
                  <c:v>1955</c:v>
                </c:pt>
                <c:pt idx="43">
                  <c:v>1956</c:v>
                </c:pt>
                <c:pt idx="44">
                  <c:v>1957</c:v>
                </c:pt>
                <c:pt idx="45">
                  <c:v>1958</c:v>
                </c:pt>
                <c:pt idx="46">
                  <c:v>1959</c:v>
                </c:pt>
                <c:pt idx="47">
                  <c:v>1960</c:v>
                </c:pt>
                <c:pt idx="48">
                  <c:v>1961</c:v>
                </c:pt>
                <c:pt idx="49">
                  <c:v>1962</c:v>
                </c:pt>
                <c:pt idx="50">
                  <c:v>1963</c:v>
                </c:pt>
                <c:pt idx="51">
                  <c:v>1964</c:v>
                </c:pt>
                <c:pt idx="52">
                  <c:v>1965</c:v>
                </c:pt>
                <c:pt idx="53">
                  <c:v>1966</c:v>
                </c:pt>
                <c:pt idx="54">
                  <c:v>1967</c:v>
                </c:pt>
                <c:pt idx="55">
                  <c:v>1968</c:v>
                </c:pt>
                <c:pt idx="56">
                  <c:v>1969</c:v>
                </c:pt>
                <c:pt idx="57">
                  <c:v>1970</c:v>
                </c:pt>
                <c:pt idx="58">
                  <c:v>1971</c:v>
                </c:pt>
                <c:pt idx="59">
                  <c:v>1972</c:v>
                </c:pt>
                <c:pt idx="60">
                  <c:v>1973</c:v>
                </c:pt>
                <c:pt idx="61">
                  <c:v>1974</c:v>
                </c:pt>
                <c:pt idx="62">
                  <c:v>1975</c:v>
                </c:pt>
                <c:pt idx="63">
                  <c:v>1976</c:v>
                </c:pt>
                <c:pt idx="64">
                  <c:v>1977</c:v>
                </c:pt>
                <c:pt idx="65">
                  <c:v>1978</c:v>
                </c:pt>
                <c:pt idx="66">
                  <c:v>1979</c:v>
                </c:pt>
                <c:pt idx="67">
                  <c:v>1980</c:v>
                </c:pt>
                <c:pt idx="68">
                  <c:v>1981</c:v>
                </c:pt>
                <c:pt idx="69">
                  <c:v>1982</c:v>
                </c:pt>
                <c:pt idx="70">
                  <c:v>1983</c:v>
                </c:pt>
                <c:pt idx="71">
                  <c:v>1984</c:v>
                </c:pt>
                <c:pt idx="72">
                  <c:v>1985</c:v>
                </c:pt>
                <c:pt idx="73">
                  <c:v>1986</c:v>
                </c:pt>
                <c:pt idx="74">
                  <c:v>1987</c:v>
                </c:pt>
                <c:pt idx="75">
                  <c:v>1988</c:v>
                </c:pt>
                <c:pt idx="76">
                  <c:v>1989</c:v>
                </c:pt>
                <c:pt idx="77">
                  <c:v>1990</c:v>
                </c:pt>
                <c:pt idx="78">
                  <c:v>1991</c:v>
                </c:pt>
                <c:pt idx="79">
                  <c:v>1992</c:v>
                </c:pt>
                <c:pt idx="80">
                  <c:v>1993</c:v>
                </c:pt>
                <c:pt idx="81">
                  <c:v>1994</c:v>
                </c:pt>
                <c:pt idx="82">
                  <c:v>1995</c:v>
                </c:pt>
                <c:pt idx="83">
                  <c:v>1996</c:v>
                </c:pt>
                <c:pt idx="84">
                  <c:v>1997</c:v>
                </c:pt>
                <c:pt idx="85">
                  <c:v>1998</c:v>
                </c:pt>
                <c:pt idx="86">
                  <c:v>1999</c:v>
                </c:pt>
                <c:pt idx="87">
                  <c:v>2000</c:v>
                </c:pt>
                <c:pt idx="88">
                  <c:v>2001</c:v>
                </c:pt>
                <c:pt idx="89">
                  <c:v>2002</c:v>
                </c:pt>
                <c:pt idx="90">
                  <c:v>2003</c:v>
                </c:pt>
                <c:pt idx="91">
                  <c:v>2004</c:v>
                </c:pt>
                <c:pt idx="92">
                  <c:v>2005</c:v>
                </c:pt>
                <c:pt idx="93">
                  <c:v>2006</c:v>
                </c:pt>
                <c:pt idx="94">
                  <c:v>2007</c:v>
                </c:pt>
                <c:pt idx="95">
                  <c:v>2008</c:v>
                </c:pt>
                <c:pt idx="96">
                  <c:v>2009</c:v>
                </c:pt>
              </c:numCache>
            </c:numRef>
          </c:cat>
          <c:val>
            <c:numRef>
              <c:f>'HD cons diagram'!$C$29:$CU$29</c:f>
              <c:numCache>
                <c:formatCode>0.000</c:formatCode>
                <c:ptCount val="97"/>
                <c:pt idx="0">
                  <c:v>0.13700109281781006</c:v>
                </c:pt>
                <c:pt idx="1">
                  <c:v>0.12180672568913803</c:v>
                </c:pt>
                <c:pt idx="2">
                  <c:v>0.12498477516709003</c:v>
                </c:pt>
                <c:pt idx="3">
                  <c:v>0.11784557789785298</c:v>
                </c:pt>
                <c:pt idx="4">
                  <c:v>8.1714727914283206E-2</c:v>
                </c:pt>
                <c:pt idx="5">
                  <c:v>3.661477623238911E-2</c:v>
                </c:pt>
                <c:pt idx="6">
                  <c:v>0</c:v>
                </c:pt>
                <c:pt idx="7">
                  <c:v>5.0037234642450516E-2</c:v>
                </c:pt>
                <c:pt idx="8">
                  <c:v>4.7689715599373482E-2</c:v>
                </c:pt>
                <c:pt idx="9">
                  <c:v>2.2144186548086399E-2</c:v>
                </c:pt>
                <c:pt idx="10">
                  <c:v>2.8005266938804601E-2</c:v>
                </c:pt>
                <c:pt idx="11">
                  <c:v>0</c:v>
                </c:pt>
                <c:pt idx="12">
                  <c:v>1.4246335071811899E-2</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3.4923617010498807E-3</c:v>
                </c:pt>
                <c:pt idx="29">
                  <c:v>8.1132808428704506E-4</c:v>
                </c:pt>
                <c:pt idx="30">
                  <c:v>9.1565510878058732E-4</c:v>
                </c:pt>
                <c:pt idx="31">
                  <c:v>8.2898105896127327E-4</c:v>
                </c:pt>
                <c:pt idx="32">
                  <c:v>8.557685835722538E-4</c:v>
                </c:pt>
                <c:pt idx="33">
                  <c:v>0</c:v>
                </c:pt>
                <c:pt idx="34">
                  <c:v>0</c:v>
                </c:pt>
                <c:pt idx="35">
                  <c:v>0</c:v>
                </c:pt>
                <c:pt idx="36">
                  <c:v>6.1626550267172779E-2</c:v>
                </c:pt>
                <c:pt idx="37">
                  <c:v>8.4718666125567707E-2</c:v>
                </c:pt>
                <c:pt idx="38">
                  <c:v>0.111089440713073</c:v>
                </c:pt>
                <c:pt idx="39">
                  <c:v>0.20421854943210208</c:v>
                </c:pt>
                <c:pt idx="40">
                  <c:v>0.23193336808674606</c:v>
                </c:pt>
                <c:pt idx="41">
                  <c:v>0.22060460294275194</c:v>
                </c:pt>
                <c:pt idx="42">
                  <c:v>0.23497610088799012</c:v>
                </c:pt>
                <c:pt idx="43">
                  <c:v>0.26491927000769511</c:v>
                </c:pt>
                <c:pt idx="44">
                  <c:v>0.29468893058897411</c:v>
                </c:pt>
                <c:pt idx="45">
                  <c:v>0.28468113728106798</c:v>
                </c:pt>
                <c:pt idx="46">
                  <c:v>0.29018616832396915</c:v>
                </c:pt>
                <c:pt idx="47">
                  <c:v>0.29021457596150113</c:v>
                </c:pt>
                <c:pt idx="48">
                  <c:v>0.27839692525285525</c:v>
                </c:pt>
                <c:pt idx="49">
                  <c:v>0.22941282235871693</c:v>
                </c:pt>
                <c:pt idx="50">
                  <c:v>0.29936980104392913</c:v>
                </c:pt>
                <c:pt idx="51">
                  <c:v>0.3085538814414801</c:v>
                </c:pt>
                <c:pt idx="52">
                  <c:v>0.33689745561896811</c:v>
                </c:pt>
                <c:pt idx="53">
                  <c:v>0.41377237621812302</c:v>
                </c:pt>
                <c:pt idx="54">
                  <c:v>0.41739528333449721</c:v>
                </c:pt>
                <c:pt idx="55">
                  <c:v>0.43923084085653891</c:v>
                </c:pt>
                <c:pt idx="56">
                  <c:v>0.48227474870259801</c:v>
                </c:pt>
                <c:pt idx="57">
                  <c:v>0.54036033452001997</c:v>
                </c:pt>
                <c:pt idx="58">
                  <c:v>0.55035433492238472</c:v>
                </c:pt>
                <c:pt idx="59">
                  <c:v>0.5659521146855172</c:v>
                </c:pt>
                <c:pt idx="60">
                  <c:v>0.55920978014016798</c:v>
                </c:pt>
                <c:pt idx="61">
                  <c:v>0.58258769158514179</c:v>
                </c:pt>
                <c:pt idx="62">
                  <c:v>0.61377065980555723</c:v>
                </c:pt>
                <c:pt idx="63">
                  <c:v>0.58419102379272281</c:v>
                </c:pt>
                <c:pt idx="64">
                  <c:v>0.60476607423109319</c:v>
                </c:pt>
                <c:pt idx="65">
                  <c:v>0.59532477345618795</c:v>
                </c:pt>
                <c:pt idx="66">
                  <c:v>0.58299070572259182</c:v>
                </c:pt>
                <c:pt idx="67">
                  <c:v>0.60180369548252521</c:v>
                </c:pt>
                <c:pt idx="68">
                  <c:v>0.64053842636660119</c:v>
                </c:pt>
                <c:pt idx="69">
                  <c:v>0.74705252545390999</c:v>
                </c:pt>
                <c:pt idx="70">
                  <c:v>0.75112655860653621</c:v>
                </c:pt>
                <c:pt idx="71">
                  <c:v>0.6891033899235568</c:v>
                </c:pt>
                <c:pt idx="72">
                  <c:v>0.50653093127916482</c:v>
                </c:pt>
                <c:pt idx="73">
                  <c:v>0.55759411677636572</c:v>
                </c:pt>
                <c:pt idx="74">
                  <c:v>0.38328327688670211</c:v>
                </c:pt>
                <c:pt idx="75">
                  <c:v>0.36974811083123399</c:v>
                </c:pt>
                <c:pt idx="76">
                  <c:v>0.38099196453311202</c:v>
                </c:pt>
                <c:pt idx="77">
                  <c:v>0.36389986824772813</c:v>
                </c:pt>
                <c:pt idx="78">
                  <c:v>0.35027592216090597</c:v>
                </c:pt>
                <c:pt idx="79">
                  <c:v>0.38737248414672315</c:v>
                </c:pt>
                <c:pt idx="80">
                  <c:v>0.27154150197628502</c:v>
                </c:pt>
                <c:pt idx="81">
                  <c:v>0.24090189873417706</c:v>
                </c:pt>
                <c:pt idx="82">
                  <c:v>0.26176787639238208</c:v>
                </c:pt>
                <c:pt idx="83">
                  <c:v>0.26661659782203312</c:v>
                </c:pt>
                <c:pt idx="84">
                  <c:v>0.23857868020304596</c:v>
                </c:pt>
                <c:pt idx="85">
                  <c:v>0.34347685335064626</c:v>
                </c:pt>
                <c:pt idx="86">
                  <c:v>0.32722286374138415</c:v>
                </c:pt>
                <c:pt idx="87">
                  <c:v>0.37868970482364323</c:v>
                </c:pt>
                <c:pt idx="88">
                  <c:v>0.40752794679498611</c:v>
                </c:pt>
                <c:pt idx="89">
                  <c:v>0.39694656488553814</c:v>
                </c:pt>
                <c:pt idx="90">
                  <c:v>0.37826086956525723</c:v>
                </c:pt>
                <c:pt idx="91">
                  <c:v>0.37776606954691411</c:v>
                </c:pt>
                <c:pt idx="92">
                  <c:v>0.59234192471719971</c:v>
                </c:pt>
                <c:pt idx="93">
                  <c:v>0.59594699922057703</c:v>
                </c:pt>
                <c:pt idx="94">
                  <c:v>0.6010656883298402</c:v>
                </c:pt>
                <c:pt idx="95">
                  <c:v>0.58460057747834504</c:v>
                </c:pt>
                <c:pt idx="96">
                  <c:v>0.53914431036202304</c:v>
                </c:pt>
              </c:numCache>
            </c:numRef>
          </c:val>
        </c:ser>
        <c:marker val="1"/>
        <c:axId val="69941120"/>
        <c:axId val="69942656"/>
      </c:lineChart>
      <c:catAx>
        <c:axId val="69941120"/>
        <c:scaling>
          <c:orientation val="minMax"/>
        </c:scaling>
        <c:axPos val="b"/>
        <c:numFmt formatCode="General" sourceLinked="1"/>
        <c:tickLblPos val="nextTo"/>
        <c:txPr>
          <a:bodyPr/>
          <a:lstStyle/>
          <a:p>
            <a:pPr>
              <a:defRPr lang="en-IN"/>
            </a:pPr>
            <a:endParaRPr lang="en-US"/>
          </a:p>
        </c:txPr>
        <c:crossAx val="69942656"/>
        <c:crosses val="autoZero"/>
        <c:auto val="1"/>
        <c:lblAlgn val="ctr"/>
        <c:lblOffset val="100"/>
      </c:catAx>
      <c:valAx>
        <c:axId val="69942656"/>
        <c:scaling>
          <c:orientation val="minMax"/>
        </c:scaling>
        <c:axPos val="l"/>
        <c:majorGridlines/>
        <c:numFmt formatCode="0.000" sourceLinked="1"/>
        <c:tickLblPos val="nextTo"/>
        <c:txPr>
          <a:bodyPr/>
          <a:lstStyle/>
          <a:p>
            <a:pPr>
              <a:defRPr lang="en-IN"/>
            </a:pPr>
            <a:endParaRPr lang="en-US"/>
          </a:p>
        </c:txPr>
        <c:crossAx val="69941120"/>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IN" sz="1000">
                <a:latin typeface="Times New Roman" pitchFamily="18" charset="0"/>
                <a:cs typeface="Times New Roman" pitchFamily="18" charset="0"/>
              </a:defRPr>
            </a:pPr>
            <a:r>
              <a:rPr lang="en-US"/>
              <a:t>Caterpillar </a:t>
            </a:r>
          </a:p>
        </c:rich>
      </c:tx>
      <c:layout>
        <c:manualLayout>
          <c:xMode val="edge"/>
          <c:yMode val="edge"/>
          <c:x val="0.43105715464496702"/>
          <c:y val="7.2022852267141502E-2"/>
        </c:manualLayout>
      </c:layout>
    </c:title>
    <c:plotArea>
      <c:layout>
        <c:manualLayout>
          <c:layoutTarget val="inner"/>
          <c:xMode val="edge"/>
          <c:yMode val="edge"/>
          <c:x val="0.10793370728324506"/>
          <c:y val="5.1209674740024601E-2"/>
          <c:w val="0.84748689858583803"/>
          <c:h val="0.70656345172043178"/>
        </c:manualLayout>
      </c:layout>
      <c:lineChart>
        <c:grouping val="standard"/>
        <c:ser>
          <c:idx val="0"/>
          <c:order val="0"/>
          <c:tx>
            <c:strRef>
              <c:f>'DJIA 24 DebttoTA'!$D$11</c:f>
              <c:strCache>
                <c:ptCount val="1"/>
                <c:pt idx="0">
                  <c:v>Caterpillar Debt/Total Assets</c:v>
                </c:pt>
              </c:strCache>
            </c:strRef>
          </c:tx>
          <c:spPr>
            <a:ln w="28575">
              <a:solidFill>
                <a:sysClr val="windowText" lastClr="000000"/>
              </a:solidFill>
            </a:ln>
          </c:spPr>
          <c:marker>
            <c:symbol val="none"/>
          </c:marker>
          <c:cat>
            <c:numRef>
              <c:f>'DJIA 24 DebttoTA'!$E$10:$CJ$10</c:f>
              <c:numCache>
                <c:formatCode>General</c:formatCode>
                <c:ptCount val="84"/>
                <c:pt idx="0">
                  <c:v>1925</c:v>
                </c:pt>
                <c:pt idx="1">
                  <c:v>1926</c:v>
                </c:pt>
                <c:pt idx="2">
                  <c:v>1927</c:v>
                </c:pt>
                <c:pt idx="3">
                  <c:v>1928</c:v>
                </c:pt>
                <c:pt idx="4">
                  <c:v>1929</c:v>
                </c:pt>
                <c:pt idx="5">
                  <c:v>1930</c:v>
                </c:pt>
                <c:pt idx="6">
                  <c:v>1931</c:v>
                </c:pt>
                <c:pt idx="7">
                  <c:v>1932</c:v>
                </c:pt>
                <c:pt idx="8">
                  <c:v>1933</c:v>
                </c:pt>
                <c:pt idx="9">
                  <c:v>1934</c:v>
                </c:pt>
                <c:pt idx="10">
                  <c:v>1935</c:v>
                </c:pt>
                <c:pt idx="11">
                  <c:v>1936</c:v>
                </c:pt>
                <c:pt idx="12">
                  <c:v>1937</c:v>
                </c:pt>
                <c:pt idx="13">
                  <c:v>1938</c:v>
                </c:pt>
                <c:pt idx="14">
                  <c:v>1939</c:v>
                </c:pt>
                <c:pt idx="15">
                  <c:v>1940</c:v>
                </c:pt>
                <c:pt idx="16">
                  <c:v>1941</c:v>
                </c:pt>
                <c:pt idx="17">
                  <c:v>1942</c:v>
                </c:pt>
                <c:pt idx="18">
                  <c:v>1943</c:v>
                </c:pt>
                <c:pt idx="19">
                  <c:v>1944</c:v>
                </c:pt>
                <c:pt idx="20">
                  <c:v>1945</c:v>
                </c:pt>
                <c:pt idx="21">
                  <c:v>1946</c:v>
                </c:pt>
                <c:pt idx="22">
                  <c:v>1947</c:v>
                </c:pt>
                <c:pt idx="23">
                  <c:v>1948</c:v>
                </c:pt>
                <c:pt idx="24">
                  <c:v>1949</c:v>
                </c:pt>
                <c:pt idx="25">
                  <c:v>1950</c:v>
                </c:pt>
                <c:pt idx="26">
                  <c:v>1951</c:v>
                </c:pt>
                <c:pt idx="27">
                  <c:v>1952</c:v>
                </c:pt>
                <c:pt idx="28">
                  <c:v>1953</c:v>
                </c:pt>
                <c:pt idx="29">
                  <c:v>1954</c:v>
                </c:pt>
                <c:pt idx="30">
                  <c:v>1955</c:v>
                </c:pt>
                <c:pt idx="31">
                  <c:v>1956</c:v>
                </c:pt>
                <c:pt idx="32">
                  <c:v>1957</c:v>
                </c:pt>
                <c:pt idx="33">
                  <c:v>1958</c:v>
                </c:pt>
                <c:pt idx="34">
                  <c:v>1959</c:v>
                </c:pt>
                <c:pt idx="35">
                  <c:v>1960</c:v>
                </c:pt>
                <c:pt idx="36">
                  <c:v>1961</c:v>
                </c:pt>
                <c:pt idx="37">
                  <c:v>1962</c:v>
                </c:pt>
                <c:pt idx="38">
                  <c:v>1963</c:v>
                </c:pt>
                <c:pt idx="39">
                  <c:v>1964</c:v>
                </c:pt>
                <c:pt idx="40">
                  <c:v>1965</c:v>
                </c:pt>
                <c:pt idx="41">
                  <c:v>1966</c:v>
                </c:pt>
                <c:pt idx="42">
                  <c:v>1967</c:v>
                </c:pt>
                <c:pt idx="43">
                  <c:v>1968</c:v>
                </c:pt>
                <c:pt idx="44">
                  <c:v>1969</c:v>
                </c:pt>
                <c:pt idx="45">
                  <c:v>1970</c:v>
                </c:pt>
                <c:pt idx="46">
                  <c:v>1971</c:v>
                </c:pt>
                <c:pt idx="47">
                  <c:v>1972</c:v>
                </c:pt>
                <c:pt idx="48">
                  <c:v>1973</c:v>
                </c:pt>
                <c:pt idx="49">
                  <c:v>1974</c:v>
                </c:pt>
                <c:pt idx="50">
                  <c:v>1975</c:v>
                </c:pt>
                <c:pt idx="51">
                  <c:v>1976</c:v>
                </c:pt>
                <c:pt idx="52">
                  <c:v>1977</c:v>
                </c:pt>
                <c:pt idx="53">
                  <c:v>1978</c:v>
                </c:pt>
                <c:pt idx="54">
                  <c:v>1979</c:v>
                </c:pt>
                <c:pt idx="55">
                  <c:v>1980</c:v>
                </c:pt>
                <c:pt idx="56">
                  <c:v>1981</c:v>
                </c:pt>
                <c:pt idx="57">
                  <c:v>1982</c:v>
                </c:pt>
                <c:pt idx="58">
                  <c:v>1983</c:v>
                </c:pt>
                <c:pt idx="59">
                  <c:v>1984</c:v>
                </c:pt>
                <c:pt idx="60">
                  <c:v>1985</c:v>
                </c:pt>
                <c:pt idx="61">
                  <c:v>1986</c:v>
                </c:pt>
                <c:pt idx="62">
                  <c:v>1987</c:v>
                </c:pt>
                <c:pt idx="63">
                  <c:v>1988</c:v>
                </c:pt>
                <c:pt idx="64">
                  <c:v>1989</c:v>
                </c:pt>
                <c:pt idx="65">
                  <c:v>1990</c:v>
                </c:pt>
                <c:pt idx="66">
                  <c:v>1991</c:v>
                </c:pt>
                <c:pt idx="67">
                  <c:v>1992</c:v>
                </c:pt>
                <c:pt idx="68">
                  <c:v>1993</c:v>
                </c:pt>
                <c:pt idx="69">
                  <c:v>1994</c:v>
                </c:pt>
                <c:pt idx="70">
                  <c:v>1995</c:v>
                </c:pt>
                <c:pt idx="71">
                  <c:v>1996</c:v>
                </c:pt>
                <c:pt idx="72">
                  <c:v>1997</c:v>
                </c:pt>
                <c:pt idx="73">
                  <c:v>1998</c:v>
                </c:pt>
                <c:pt idx="74">
                  <c:v>1999</c:v>
                </c:pt>
                <c:pt idx="75">
                  <c:v>2000</c:v>
                </c:pt>
                <c:pt idx="76">
                  <c:v>2001</c:v>
                </c:pt>
                <c:pt idx="77">
                  <c:v>2002</c:v>
                </c:pt>
                <c:pt idx="78">
                  <c:v>2003</c:v>
                </c:pt>
                <c:pt idx="79">
                  <c:v>2004</c:v>
                </c:pt>
                <c:pt idx="80">
                  <c:v>2005</c:v>
                </c:pt>
                <c:pt idx="81">
                  <c:v>2006</c:v>
                </c:pt>
                <c:pt idx="82">
                  <c:v>2007</c:v>
                </c:pt>
                <c:pt idx="83">
                  <c:v>2008</c:v>
                </c:pt>
              </c:numCache>
            </c:numRef>
          </c:cat>
          <c:val>
            <c:numRef>
              <c:f>'DJIA 24 DebttoTA'!$E$11:$CJ$11</c:f>
              <c:numCache>
                <c:formatCode>0.000</c:formatCode>
                <c:ptCount val="84"/>
                <c:pt idx="0">
                  <c:v>0</c:v>
                </c:pt>
                <c:pt idx="1">
                  <c:v>0</c:v>
                </c:pt>
                <c:pt idx="2">
                  <c:v>0</c:v>
                </c:pt>
                <c:pt idx="3">
                  <c:v>0.19455462819814595</c:v>
                </c:pt>
                <c:pt idx="4">
                  <c:v>0.11294076191155603</c:v>
                </c:pt>
                <c:pt idx="5">
                  <c:v>0.18393310691779807</c:v>
                </c:pt>
                <c:pt idx="6">
                  <c:v>0.17700491729814694</c:v>
                </c:pt>
                <c:pt idx="7">
                  <c:v>0.15923008556423615</c:v>
                </c:pt>
                <c:pt idx="8">
                  <c:v>0.12271812742348503</c:v>
                </c:pt>
                <c:pt idx="9">
                  <c:v>0</c:v>
                </c:pt>
                <c:pt idx="10">
                  <c:v>0</c:v>
                </c:pt>
                <c:pt idx="11">
                  <c:v>1.0072792241870899E-2</c:v>
                </c:pt>
                <c:pt idx="12">
                  <c:v>1.7978439461829102E-2</c:v>
                </c:pt>
                <c:pt idx="13">
                  <c:v>0</c:v>
                </c:pt>
                <c:pt idx="14">
                  <c:v>0.10020404114011804</c:v>
                </c:pt>
                <c:pt idx="15">
                  <c:v>7.0329091300214724E-2</c:v>
                </c:pt>
                <c:pt idx="16">
                  <c:v>4.50261760214615E-2</c:v>
                </c:pt>
                <c:pt idx="17">
                  <c:v>6.1442413185244599E-2</c:v>
                </c:pt>
                <c:pt idx="18">
                  <c:v>0</c:v>
                </c:pt>
                <c:pt idx="19">
                  <c:v>4.6086210598386912E-2</c:v>
                </c:pt>
                <c:pt idx="20">
                  <c:v>0</c:v>
                </c:pt>
                <c:pt idx="21">
                  <c:v>0.19597749719744911</c:v>
                </c:pt>
                <c:pt idx="22">
                  <c:v>0.22057068334594895</c:v>
                </c:pt>
                <c:pt idx="23">
                  <c:v>0.27820707995219601</c:v>
                </c:pt>
                <c:pt idx="24">
                  <c:v>0.12420392040607908</c:v>
                </c:pt>
                <c:pt idx="25">
                  <c:v>8.265931530935966E-2</c:v>
                </c:pt>
                <c:pt idx="26">
                  <c:v>0.20857929948839107</c:v>
                </c:pt>
                <c:pt idx="27">
                  <c:v>0.1847333565702341</c:v>
                </c:pt>
                <c:pt idx="28">
                  <c:v>0.18800993260021306</c:v>
                </c:pt>
                <c:pt idx="29">
                  <c:v>0.17500839771582208</c:v>
                </c:pt>
                <c:pt idx="30">
                  <c:v>0.15233918128655005</c:v>
                </c:pt>
                <c:pt idx="31">
                  <c:v>8.283968494467818E-2</c:v>
                </c:pt>
                <c:pt idx="32">
                  <c:v>0.22074884413589407</c:v>
                </c:pt>
                <c:pt idx="33">
                  <c:v>0.219802689269149</c:v>
                </c:pt>
                <c:pt idx="34">
                  <c:v>0.25072959985353999</c:v>
                </c:pt>
                <c:pt idx="35">
                  <c:v>0.32515888120849823</c:v>
                </c:pt>
                <c:pt idx="36">
                  <c:v>0.24605043555996112</c:v>
                </c:pt>
                <c:pt idx="37">
                  <c:v>0.24417160570496896</c:v>
                </c:pt>
                <c:pt idx="38">
                  <c:v>0.19376421708679606</c:v>
                </c:pt>
                <c:pt idx="39">
                  <c:v>0.16604865878866301</c:v>
                </c:pt>
                <c:pt idx="40">
                  <c:v>0.14522797897079001</c:v>
                </c:pt>
                <c:pt idx="41">
                  <c:v>0.162504854689484</c:v>
                </c:pt>
                <c:pt idx="42">
                  <c:v>0.27515385185734398</c:v>
                </c:pt>
                <c:pt idx="43">
                  <c:v>0.30381808704717522</c:v>
                </c:pt>
                <c:pt idx="44">
                  <c:v>0.29554539161773702</c:v>
                </c:pt>
                <c:pt idx="45">
                  <c:v>0.30273180156337887</c:v>
                </c:pt>
                <c:pt idx="46">
                  <c:v>0.28611093368796214</c:v>
                </c:pt>
                <c:pt idx="47">
                  <c:v>0.19723219113539012</c:v>
                </c:pt>
                <c:pt idx="48">
                  <c:v>0.22618595485489101</c:v>
                </c:pt>
                <c:pt idx="49">
                  <c:v>0.31034083162917614</c:v>
                </c:pt>
                <c:pt idx="50">
                  <c:v>0.27971003366208008</c:v>
                </c:pt>
                <c:pt idx="51">
                  <c:v>0.29095233081289512</c:v>
                </c:pt>
                <c:pt idx="52">
                  <c:v>0.26563800425165901</c:v>
                </c:pt>
                <c:pt idx="53">
                  <c:v>0.24154009843584806</c:v>
                </c:pt>
                <c:pt idx="54">
                  <c:v>0.2818956537092081</c:v>
                </c:pt>
                <c:pt idx="55">
                  <c:v>0.24600130038478599</c:v>
                </c:pt>
                <c:pt idx="56">
                  <c:v>0.26825330430158389</c:v>
                </c:pt>
                <c:pt idx="57">
                  <c:v>0.38272739897236613</c:v>
                </c:pt>
                <c:pt idx="58">
                  <c:v>0.35247416762342221</c:v>
                </c:pt>
                <c:pt idx="59">
                  <c:v>0.33905190422625825</c:v>
                </c:pt>
                <c:pt idx="60">
                  <c:v>0.28337765957446914</c:v>
                </c:pt>
                <c:pt idx="61">
                  <c:v>0.3115903307888041</c:v>
                </c:pt>
                <c:pt idx="62">
                  <c:v>0.28760000000000002</c:v>
                </c:pt>
                <c:pt idx="63">
                  <c:v>0.33656824282469722</c:v>
                </c:pt>
                <c:pt idx="64">
                  <c:v>0.36555006406736312</c:v>
                </c:pt>
                <c:pt idx="65">
                  <c:v>0.39502970462722914</c:v>
                </c:pt>
                <c:pt idx="66">
                  <c:v>0.43572496263079313</c:v>
                </c:pt>
                <c:pt idx="67">
                  <c:v>0.40703265159669899</c:v>
                </c:pt>
                <c:pt idx="68">
                  <c:v>0.36658337272911512</c:v>
                </c:pt>
                <c:pt idx="69">
                  <c:v>0.36326153846153686</c:v>
                </c:pt>
                <c:pt idx="70">
                  <c:v>0.38027332144979198</c:v>
                </c:pt>
                <c:pt idx="71">
                  <c:v>0.39828064929517415</c:v>
                </c:pt>
                <c:pt idx="72">
                  <c:v>0.41279629986509908</c:v>
                </c:pt>
                <c:pt idx="73">
                  <c:v>0.4955428207577211</c:v>
                </c:pt>
                <c:pt idx="74">
                  <c:v>0.51819035104186173</c:v>
                </c:pt>
                <c:pt idx="75">
                  <c:v>0.52933530073074475</c:v>
                </c:pt>
                <c:pt idx="76">
                  <c:v>0.54154026812799483</c:v>
                </c:pt>
                <c:pt idx="77">
                  <c:v>0.53827889561961595</c:v>
                </c:pt>
                <c:pt idx="78">
                  <c:v>0.54342520224873425</c:v>
                </c:pt>
                <c:pt idx="79">
                  <c:v>0.54593766679817424</c:v>
                </c:pt>
                <c:pt idx="80">
                  <c:v>0.54696296925789778</c:v>
                </c:pt>
                <c:pt idx="81">
                  <c:v>0.53648853161421983</c:v>
                </c:pt>
                <c:pt idx="82">
                  <c:v>0.50646689945129075</c:v>
                </c:pt>
                <c:pt idx="83">
                  <c:v>0.52425422678587419</c:v>
                </c:pt>
              </c:numCache>
            </c:numRef>
          </c:val>
        </c:ser>
        <c:marker val="1"/>
        <c:axId val="69446272"/>
        <c:axId val="69976448"/>
      </c:lineChart>
      <c:catAx>
        <c:axId val="69446272"/>
        <c:scaling>
          <c:orientation val="minMax"/>
        </c:scaling>
        <c:axPos val="b"/>
        <c:numFmt formatCode="General" sourceLinked="1"/>
        <c:tickLblPos val="nextTo"/>
        <c:txPr>
          <a:bodyPr/>
          <a:lstStyle/>
          <a:p>
            <a:pPr>
              <a:defRPr lang="en-IN">
                <a:latin typeface="Times New Roman" pitchFamily="18" charset="0"/>
                <a:cs typeface="Times New Roman" pitchFamily="18" charset="0"/>
              </a:defRPr>
            </a:pPr>
            <a:endParaRPr lang="en-US"/>
          </a:p>
        </c:txPr>
        <c:crossAx val="69976448"/>
        <c:crosses val="autoZero"/>
        <c:auto val="1"/>
        <c:lblAlgn val="ctr"/>
        <c:lblOffset val="100"/>
      </c:catAx>
      <c:valAx>
        <c:axId val="69976448"/>
        <c:scaling>
          <c:orientation val="minMax"/>
        </c:scaling>
        <c:axPos val="l"/>
        <c:majorGridlines/>
        <c:numFmt formatCode="0.000" sourceLinked="1"/>
        <c:tickLblPos val="nextTo"/>
        <c:txPr>
          <a:bodyPr/>
          <a:lstStyle/>
          <a:p>
            <a:pPr>
              <a:defRPr lang="en-IN">
                <a:latin typeface="Times New Roman" pitchFamily="18" charset="0"/>
                <a:cs typeface="Times New Roman" pitchFamily="18" charset="0"/>
              </a:defRPr>
            </a:pPr>
            <a:endParaRPr lang="en-US"/>
          </a:p>
        </c:txPr>
        <c:crossAx val="69446272"/>
        <c:crosses val="autoZero"/>
        <c:crossBetween val="between"/>
      </c:valAx>
    </c:plotArea>
    <c:plotVisOnly val="1"/>
    <c:dispBlanksAs val="gap"/>
  </c:chart>
  <c:spPr>
    <a:ln>
      <a:noFill/>
    </a:ln>
  </c:spPr>
  <c:externalData r:id="rId2"/>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diagram'!$B$35</c:f>
              <c:strCache>
                <c:ptCount val="1"/>
                <c:pt idx="0">
                  <c:v>TotDebttoTA </c:v>
                </c:pt>
              </c:strCache>
            </c:strRef>
          </c:tx>
          <c:spPr>
            <a:ln>
              <a:solidFill>
                <a:schemeClr val="tx1"/>
              </a:solidFill>
            </a:ln>
          </c:spPr>
          <c:marker>
            <c:symbol val="none"/>
          </c:marker>
          <c:cat>
            <c:numRef>
              <c:f>'HD diagram'!$C$34:$CU$34</c:f>
              <c:numCache>
                <c:formatCode>General</c:formatCode>
                <c:ptCount val="97"/>
                <c:pt idx="0">
                  <c:v>1912</c:v>
                </c:pt>
                <c:pt idx="1">
                  <c:v>1913</c:v>
                </c:pt>
                <c:pt idx="2">
                  <c:v>1914</c:v>
                </c:pt>
                <c:pt idx="3">
                  <c:v>1915</c:v>
                </c:pt>
                <c:pt idx="4">
                  <c:v>1916</c:v>
                </c:pt>
                <c:pt idx="5">
                  <c:v>1917</c:v>
                </c:pt>
                <c:pt idx="6">
                  <c:v>1918</c:v>
                </c:pt>
                <c:pt idx="7">
                  <c:v>1919</c:v>
                </c:pt>
                <c:pt idx="8">
                  <c:v>1920</c:v>
                </c:pt>
                <c:pt idx="9">
                  <c:v>1921</c:v>
                </c:pt>
                <c:pt idx="10">
                  <c:v>1922</c:v>
                </c:pt>
                <c:pt idx="11">
                  <c:v>1923</c:v>
                </c:pt>
                <c:pt idx="12">
                  <c:v>1924</c:v>
                </c:pt>
                <c:pt idx="13">
                  <c:v>1925</c:v>
                </c:pt>
                <c:pt idx="14">
                  <c:v>1926</c:v>
                </c:pt>
                <c:pt idx="15">
                  <c:v>1927</c:v>
                </c:pt>
                <c:pt idx="16">
                  <c:v>1928</c:v>
                </c:pt>
                <c:pt idx="17">
                  <c:v>1929</c:v>
                </c:pt>
                <c:pt idx="18">
                  <c:v>1930</c:v>
                </c:pt>
                <c:pt idx="19">
                  <c:v>1931</c:v>
                </c:pt>
                <c:pt idx="20">
                  <c:v>1932</c:v>
                </c:pt>
                <c:pt idx="21">
                  <c:v>1933</c:v>
                </c:pt>
                <c:pt idx="22">
                  <c:v>1934</c:v>
                </c:pt>
                <c:pt idx="23">
                  <c:v>1935</c:v>
                </c:pt>
                <c:pt idx="24">
                  <c:v>1936</c:v>
                </c:pt>
                <c:pt idx="25">
                  <c:v>1937</c:v>
                </c:pt>
                <c:pt idx="26">
                  <c:v>1938</c:v>
                </c:pt>
                <c:pt idx="27">
                  <c:v>1939</c:v>
                </c:pt>
                <c:pt idx="28">
                  <c:v>1940</c:v>
                </c:pt>
                <c:pt idx="29">
                  <c:v>1941</c:v>
                </c:pt>
                <c:pt idx="30">
                  <c:v>1942</c:v>
                </c:pt>
                <c:pt idx="31">
                  <c:v>1943</c:v>
                </c:pt>
                <c:pt idx="32">
                  <c:v>1944</c:v>
                </c:pt>
                <c:pt idx="33">
                  <c:v>1945</c:v>
                </c:pt>
                <c:pt idx="34">
                  <c:v>1946</c:v>
                </c:pt>
                <c:pt idx="35">
                  <c:v>1947</c:v>
                </c:pt>
                <c:pt idx="36">
                  <c:v>1948</c:v>
                </c:pt>
                <c:pt idx="37">
                  <c:v>1949</c:v>
                </c:pt>
                <c:pt idx="38">
                  <c:v>1950</c:v>
                </c:pt>
                <c:pt idx="39">
                  <c:v>1951</c:v>
                </c:pt>
                <c:pt idx="40">
                  <c:v>1952</c:v>
                </c:pt>
                <c:pt idx="41">
                  <c:v>1953</c:v>
                </c:pt>
                <c:pt idx="42">
                  <c:v>1954</c:v>
                </c:pt>
                <c:pt idx="43">
                  <c:v>1955</c:v>
                </c:pt>
                <c:pt idx="44">
                  <c:v>1956</c:v>
                </c:pt>
                <c:pt idx="45">
                  <c:v>1957</c:v>
                </c:pt>
                <c:pt idx="46">
                  <c:v>1958</c:v>
                </c:pt>
                <c:pt idx="47">
                  <c:v>1959</c:v>
                </c:pt>
                <c:pt idx="48">
                  <c:v>1960</c:v>
                </c:pt>
                <c:pt idx="49">
                  <c:v>1961</c:v>
                </c:pt>
                <c:pt idx="50">
                  <c:v>1962</c:v>
                </c:pt>
                <c:pt idx="51">
                  <c:v>1963</c:v>
                </c:pt>
                <c:pt idx="52">
                  <c:v>1964</c:v>
                </c:pt>
                <c:pt idx="53">
                  <c:v>1965</c:v>
                </c:pt>
                <c:pt idx="54">
                  <c:v>1966</c:v>
                </c:pt>
                <c:pt idx="55">
                  <c:v>1967</c:v>
                </c:pt>
                <c:pt idx="56">
                  <c:v>1968</c:v>
                </c:pt>
                <c:pt idx="57">
                  <c:v>1969</c:v>
                </c:pt>
                <c:pt idx="58">
                  <c:v>1970</c:v>
                </c:pt>
                <c:pt idx="59">
                  <c:v>1971</c:v>
                </c:pt>
                <c:pt idx="60">
                  <c:v>1972</c:v>
                </c:pt>
                <c:pt idx="61">
                  <c:v>1973</c:v>
                </c:pt>
                <c:pt idx="62">
                  <c:v>1974</c:v>
                </c:pt>
                <c:pt idx="63">
                  <c:v>1975</c:v>
                </c:pt>
                <c:pt idx="64">
                  <c:v>1976</c:v>
                </c:pt>
                <c:pt idx="65">
                  <c:v>1977</c:v>
                </c:pt>
                <c:pt idx="66">
                  <c:v>1978</c:v>
                </c:pt>
                <c:pt idx="67">
                  <c:v>1979</c:v>
                </c:pt>
                <c:pt idx="68">
                  <c:v>1980</c:v>
                </c:pt>
                <c:pt idx="69">
                  <c:v>1981</c:v>
                </c:pt>
                <c:pt idx="70">
                  <c:v>1982</c:v>
                </c:pt>
                <c:pt idx="71">
                  <c:v>1983</c:v>
                </c:pt>
                <c:pt idx="72">
                  <c:v>1984</c:v>
                </c:pt>
                <c:pt idx="73">
                  <c:v>1985</c:v>
                </c:pt>
                <c:pt idx="74">
                  <c:v>1986</c:v>
                </c:pt>
                <c:pt idx="75">
                  <c:v>1987</c:v>
                </c:pt>
                <c:pt idx="76">
                  <c:v>1988</c:v>
                </c:pt>
                <c:pt idx="77">
                  <c:v>1989</c:v>
                </c:pt>
                <c:pt idx="78">
                  <c:v>1990</c:v>
                </c:pt>
                <c:pt idx="79">
                  <c:v>1991</c:v>
                </c:pt>
                <c:pt idx="80">
                  <c:v>1992</c:v>
                </c:pt>
                <c:pt idx="81">
                  <c:v>1993</c:v>
                </c:pt>
                <c:pt idx="82">
                  <c:v>1994</c:v>
                </c:pt>
                <c:pt idx="83">
                  <c:v>1995</c:v>
                </c:pt>
                <c:pt idx="84">
                  <c:v>1996</c:v>
                </c:pt>
                <c:pt idx="85">
                  <c:v>1997</c:v>
                </c:pt>
                <c:pt idx="86">
                  <c:v>1998</c:v>
                </c:pt>
                <c:pt idx="87">
                  <c:v>1999</c:v>
                </c:pt>
                <c:pt idx="88">
                  <c:v>2000</c:v>
                </c:pt>
                <c:pt idx="89">
                  <c:v>2001</c:v>
                </c:pt>
                <c:pt idx="90">
                  <c:v>2002</c:v>
                </c:pt>
                <c:pt idx="91">
                  <c:v>2003</c:v>
                </c:pt>
                <c:pt idx="92">
                  <c:v>2004</c:v>
                </c:pt>
                <c:pt idx="93">
                  <c:v>2005</c:v>
                </c:pt>
                <c:pt idx="94">
                  <c:v>2006</c:v>
                </c:pt>
                <c:pt idx="95">
                  <c:v>2007</c:v>
                </c:pt>
                <c:pt idx="96">
                  <c:v>2008</c:v>
                </c:pt>
              </c:numCache>
            </c:numRef>
          </c:cat>
          <c:val>
            <c:numRef>
              <c:f>'HD diagram'!$C$35:$CU$35</c:f>
              <c:numCache>
                <c:formatCode>#,##0.000_);\(#,##0.000\)</c:formatCode>
                <c:ptCount val="97"/>
                <c:pt idx="0">
                  <c:v>6.7103125818159401E-2</c:v>
                </c:pt>
                <c:pt idx="1">
                  <c:v>3.0282721612898397E-2</c:v>
                </c:pt>
                <c:pt idx="2">
                  <c:v>0</c:v>
                </c:pt>
                <c:pt idx="3">
                  <c:v>1.9899251437908307E-2</c:v>
                </c:pt>
                <c:pt idx="4">
                  <c:v>5.6684808804959283E-2</c:v>
                </c:pt>
                <c:pt idx="5">
                  <c:v>0.2020442838209211</c:v>
                </c:pt>
                <c:pt idx="6">
                  <c:v>0.10690786794481601</c:v>
                </c:pt>
                <c:pt idx="7">
                  <c:v>0.13847358837846199</c:v>
                </c:pt>
                <c:pt idx="8">
                  <c:v>0.43001167693608611</c:v>
                </c:pt>
                <c:pt idx="9">
                  <c:v>0.33783544453241598</c:v>
                </c:pt>
                <c:pt idx="10">
                  <c:v>0.37684720930413512</c:v>
                </c:pt>
                <c:pt idx="11">
                  <c:v>0.37745338459298011</c:v>
                </c:pt>
                <c:pt idx="12">
                  <c:v>0.28016226931845323</c:v>
                </c:pt>
                <c:pt idx="13">
                  <c:v>0.2797685694460631</c:v>
                </c:pt>
                <c:pt idx="14">
                  <c:v>0.36717737052825811</c:v>
                </c:pt>
                <c:pt idx="15">
                  <c:v>0.33104678839699414</c:v>
                </c:pt>
                <c:pt idx="16">
                  <c:v>0.28171282892834398</c:v>
                </c:pt>
                <c:pt idx="17">
                  <c:v>0.35355987838152098</c:v>
                </c:pt>
                <c:pt idx="18">
                  <c:v>0.41586582546917211</c:v>
                </c:pt>
                <c:pt idx="19">
                  <c:v>0.4308844641173713</c:v>
                </c:pt>
                <c:pt idx="20">
                  <c:v>0.39128043399317014</c:v>
                </c:pt>
                <c:pt idx="21">
                  <c:v>0.34792370103979414</c:v>
                </c:pt>
                <c:pt idx="22">
                  <c:v>0.32819986764369313</c:v>
                </c:pt>
                <c:pt idx="23">
                  <c:v>0.34492642965101811</c:v>
                </c:pt>
                <c:pt idx="24">
                  <c:v>0.35511852011613493</c:v>
                </c:pt>
                <c:pt idx="25">
                  <c:v>0.39653623760889611</c:v>
                </c:pt>
                <c:pt idx="26">
                  <c:v>0.35548376461302911</c:v>
                </c:pt>
                <c:pt idx="27">
                  <c:v>0.32826799176397214</c:v>
                </c:pt>
                <c:pt idx="28">
                  <c:v>0.3365562347853201</c:v>
                </c:pt>
                <c:pt idx="29">
                  <c:v>0.25382467776458223</c:v>
                </c:pt>
                <c:pt idx="30">
                  <c:v>0.18219685768652599</c:v>
                </c:pt>
                <c:pt idx="31">
                  <c:v>0.12331149016537797</c:v>
                </c:pt>
                <c:pt idx="32">
                  <c:v>0.11205356833741999</c:v>
                </c:pt>
                <c:pt idx="33">
                  <c:v>0.158820919104153</c:v>
                </c:pt>
                <c:pt idx="34">
                  <c:v>0.14841641142518808</c:v>
                </c:pt>
                <c:pt idx="35">
                  <c:v>0.17517285166497795</c:v>
                </c:pt>
                <c:pt idx="36">
                  <c:v>0.16027778283645006</c:v>
                </c:pt>
                <c:pt idx="37">
                  <c:v>0.15106195416773707</c:v>
                </c:pt>
                <c:pt idx="38">
                  <c:v>0.11918046337298302</c:v>
                </c:pt>
                <c:pt idx="39">
                  <c:v>0.10007216742843403</c:v>
                </c:pt>
                <c:pt idx="40">
                  <c:v>0.14071785120038005</c:v>
                </c:pt>
                <c:pt idx="41">
                  <c:v>0.12814645308924499</c:v>
                </c:pt>
                <c:pt idx="42">
                  <c:v>0.11743158801982298</c:v>
                </c:pt>
                <c:pt idx="43">
                  <c:v>0.10100413467218003</c:v>
                </c:pt>
                <c:pt idx="44">
                  <c:v>9.3816220381431045E-2</c:v>
                </c:pt>
                <c:pt idx="45">
                  <c:v>9.6059113300493035E-2</c:v>
                </c:pt>
                <c:pt idx="46">
                  <c:v>9.1806876371618731E-2</c:v>
                </c:pt>
                <c:pt idx="47">
                  <c:v>8.0250223413762298E-2</c:v>
                </c:pt>
                <c:pt idx="48">
                  <c:v>0.167020061980101</c:v>
                </c:pt>
                <c:pt idx="49">
                  <c:v>0.16367296376587195</c:v>
                </c:pt>
                <c:pt idx="50">
                  <c:v>0.15840666975451601</c:v>
                </c:pt>
                <c:pt idx="51">
                  <c:v>0.15476913730257311</c:v>
                </c:pt>
                <c:pt idx="52">
                  <c:v>0.15718915733648806</c:v>
                </c:pt>
                <c:pt idx="53">
                  <c:v>0.15895992494303701</c:v>
                </c:pt>
                <c:pt idx="54">
                  <c:v>0.19240268140656205</c:v>
                </c:pt>
                <c:pt idx="55">
                  <c:v>0.23111849390920106</c:v>
                </c:pt>
                <c:pt idx="56">
                  <c:v>0.281256038647343</c:v>
                </c:pt>
                <c:pt idx="57">
                  <c:v>0.37107931559870411</c:v>
                </c:pt>
                <c:pt idx="58">
                  <c:v>0.40302732150758702</c:v>
                </c:pt>
                <c:pt idx="59">
                  <c:v>0.38150422085689811</c:v>
                </c:pt>
                <c:pt idx="60">
                  <c:v>0.32201555534139298</c:v>
                </c:pt>
                <c:pt idx="61">
                  <c:v>0.28686040292391213</c:v>
                </c:pt>
                <c:pt idx="62">
                  <c:v>0.32202394614731011</c:v>
                </c:pt>
                <c:pt idx="63">
                  <c:v>0.30664412192949925</c:v>
                </c:pt>
                <c:pt idx="64">
                  <c:v>0.27859151120546011</c:v>
                </c:pt>
                <c:pt idx="65">
                  <c:v>0.26502622856234498</c:v>
                </c:pt>
                <c:pt idx="66">
                  <c:v>0.2653290513066231</c:v>
                </c:pt>
                <c:pt idx="67">
                  <c:v>0.23048382131084597</c:v>
                </c:pt>
                <c:pt idx="68">
                  <c:v>0.2648024853745673</c:v>
                </c:pt>
                <c:pt idx="69">
                  <c:v>0.31743717944117</c:v>
                </c:pt>
                <c:pt idx="70">
                  <c:v>0.28890763390978513</c:v>
                </c:pt>
                <c:pt idx="71">
                  <c:v>0.26582032766519098</c:v>
                </c:pt>
                <c:pt idx="72">
                  <c:v>0.30002288504088226</c:v>
                </c:pt>
                <c:pt idx="73">
                  <c:v>0.35937723283512502</c:v>
                </c:pt>
                <c:pt idx="74">
                  <c:v>0.2685057976589551</c:v>
                </c:pt>
                <c:pt idx="75">
                  <c:v>0.20350786690740305</c:v>
                </c:pt>
                <c:pt idx="76">
                  <c:v>0.16792088760250801</c:v>
                </c:pt>
                <c:pt idx="77">
                  <c:v>0.13797045374604305</c:v>
                </c:pt>
                <c:pt idx="78">
                  <c:v>0.16198165447859</c:v>
                </c:pt>
                <c:pt idx="79">
                  <c:v>0.169250418391615</c:v>
                </c:pt>
                <c:pt idx="80">
                  <c:v>0.18130276950687299</c:v>
                </c:pt>
                <c:pt idx="81">
                  <c:v>0.22272130175007401</c:v>
                </c:pt>
                <c:pt idx="82">
                  <c:v>0.22386487909595396</c:v>
                </c:pt>
                <c:pt idx="83">
                  <c:v>0.20641870179950406</c:v>
                </c:pt>
                <c:pt idx="84">
                  <c:v>0.25887124028387998</c:v>
                </c:pt>
                <c:pt idx="85">
                  <c:v>0.25284066515932013</c:v>
                </c:pt>
                <c:pt idx="86">
                  <c:v>0.30188904259888211</c:v>
                </c:pt>
                <c:pt idx="87">
                  <c:v>0.37242466456492229</c:v>
                </c:pt>
                <c:pt idx="88">
                  <c:v>0.44215128989943198</c:v>
                </c:pt>
                <c:pt idx="89">
                  <c:v>0.33449041633432114</c:v>
                </c:pt>
                <c:pt idx="90">
                  <c:v>0.44034660077470611</c:v>
                </c:pt>
                <c:pt idx="91">
                  <c:v>0.37605052717368415</c:v>
                </c:pt>
                <c:pt idx="92">
                  <c:v>0.30603940490550902</c:v>
                </c:pt>
                <c:pt idx="93">
                  <c:v>0.27364425162689793</c:v>
                </c:pt>
                <c:pt idx="94">
                  <c:v>0.25139106242392589</c:v>
                </c:pt>
                <c:pt idx="95">
                  <c:v>0.23197504645607606</c:v>
                </c:pt>
                <c:pt idx="96">
                  <c:v>0.20973152120167293</c:v>
                </c:pt>
              </c:numCache>
            </c:numRef>
          </c:val>
        </c:ser>
        <c:marker val="1"/>
        <c:axId val="69084288"/>
        <c:axId val="69085824"/>
      </c:lineChart>
      <c:catAx>
        <c:axId val="69084288"/>
        <c:scaling>
          <c:orientation val="minMax"/>
        </c:scaling>
        <c:axPos val="b"/>
        <c:numFmt formatCode="General" sourceLinked="1"/>
        <c:tickLblPos val="nextTo"/>
        <c:txPr>
          <a:bodyPr/>
          <a:lstStyle/>
          <a:p>
            <a:pPr>
              <a:defRPr lang="en-IN"/>
            </a:pPr>
            <a:endParaRPr lang="en-US"/>
          </a:p>
        </c:txPr>
        <c:crossAx val="69085824"/>
        <c:crosses val="autoZero"/>
        <c:auto val="1"/>
        <c:lblAlgn val="ctr"/>
        <c:lblOffset val="100"/>
      </c:catAx>
      <c:valAx>
        <c:axId val="69085824"/>
        <c:scaling>
          <c:orientation val="minMax"/>
        </c:scaling>
        <c:axPos val="l"/>
        <c:majorGridlines/>
        <c:numFmt formatCode="#,##0.000_);\(#,##0.000\)" sourceLinked="1"/>
        <c:tickLblPos val="nextTo"/>
        <c:txPr>
          <a:bodyPr/>
          <a:lstStyle/>
          <a:p>
            <a:pPr>
              <a:defRPr lang="en-IN"/>
            </a:pPr>
            <a:endParaRPr lang="en-US"/>
          </a:p>
        </c:txPr>
        <c:crossAx val="69084288"/>
        <c:crosses val="autoZero"/>
        <c:crossBetween val="between"/>
        <c:majorUnit val="0.1"/>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IN" sz="1000">
                <a:latin typeface="Times New Roman" pitchFamily="18" charset="0"/>
                <a:cs typeface="Times New Roman" pitchFamily="18" charset="0"/>
              </a:defRPr>
            </a:pPr>
            <a:r>
              <a:rPr lang="en-US"/>
              <a:t>Goodyear</a:t>
            </a:r>
            <a:r>
              <a:rPr lang="en-US" baseline="0"/>
              <a:t> Tire &amp; Rubber</a:t>
            </a:r>
            <a:endParaRPr lang="en-US"/>
          </a:p>
        </c:rich>
      </c:tx>
      <c:layout>
        <c:manualLayout>
          <c:xMode val="edge"/>
          <c:yMode val="edge"/>
          <c:x val="0.36649421399644921"/>
          <c:y val="6.9896080063162933E-2"/>
        </c:manualLayout>
      </c:layout>
    </c:title>
    <c:plotArea>
      <c:layout>
        <c:manualLayout>
          <c:layoutTarget val="inner"/>
          <c:xMode val="edge"/>
          <c:yMode val="edge"/>
          <c:x val="9.8695961973826893E-2"/>
          <c:y val="5.2046177154684903E-2"/>
          <c:w val="0.87610357983602383"/>
          <c:h val="0.72813904359516424"/>
        </c:manualLayout>
      </c:layout>
      <c:lineChart>
        <c:grouping val="standard"/>
        <c:ser>
          <c:idx val="0"/>
          <c:order val="0"/>
          <c:tx>
            <c:strRef>
              <c:f>'HD consolidated fin lev'!$B$7</c:f>
              <c:strCache>
                <c:ptCount val="1"/>
                <c:pt idx="0">
                  <c:v>TotDebttoTA consolidated</c:v>
                </c:pt>
              </c:strCache>
            </c:strRef>
          </c:tx>
          <c:spPr>
            <a:ln>
              <a:solidFill>
                <a:schemeClr val="tx1"/>
              </a:solidFill>
            </a:ln>
          </c:spPr>
          <c:marker>
            <c:symbol val="none"/>
          </c:marker>
          <c:cat>
            <c:numRef>
              <c:f>'HD consolidated fin lev'!$C$6:$CV$6</c:f>
              <c:numCache>
                <c:formatCode>General</c:formatCode>
                <c:ptCount val="98"/>
                <c:pt idx="0">
                  <c:v>1911</c:v>
                </c:pt>
                <c:pt idx="1">
                  <c:v>1912</c:v>
                </c:pt>
                <c:pt idx="2">
                  <c:v>1913</c:v>
                </c:pt>
                <c:pt idx="3">
                  <c:v>1914</c:v>
                </c:pt>
                <c:pt idx="4">
                  <c:v>1915</c:v>
                </c:pt>
                <c:pt idx="5">
                  <c:v>1916</c:v>
                </c:pt>
                <c:pt idx="6">
                  <c:v>1917</c:v>
                </c:pt>
                <c:pt idx="7">
                  <c:v>1918</c:v>
                </c:pt>
                <c:pt idx="8">
                  <c:v>1919</c:v>
                </c:pt>
                <c:pt idx="9">
                  <c:v>1920</c:v>
                </c:pt>
                <c:pt idx="10">
                  <c:v>1921</c:v>
                </c:pt>
                <c:pt idx="11">
                  <c:v>1922</c:v>
                </c:pt>
                <c:pt idx="12">
                  <c:v>1923</c:v>
                </c:pt>
                <c:pt idx="13">
                  <c:v>1924</c:v>
                </c:pt>
                <c:pt idx="14">
                  <c:v>1925</c:v>
                </c:pt>
                <c:pt idx="15">
                  <c:v>1926</c:v>
                </c:pt>
                <c:pt idx="16">
                  <c:v>1927</c:v>
                </c:pt>
                <c:pt idx="17">
                  <c:v>1928</c:v>
                </c:pt>
                <c:pt idx="18">
                  <c:v>1929</c:v>
                </c:pt>
                <c:pt idx="19">
                  <c:v>1930</c:v>
                </c:pt>
                <c:pt idx="20">
                  <c:v>1931</c:v>
                </c:pt>
                <c:pt idx="21">
                  <c:v>1932</c:v>
                </c:pt>
                <c:pt idx="22">
                  <c:v>1933</c:v>
                </c:pt>
                <c:pt idx="23">
                  <c:v>1934</c:v>
                </c:pt>
                <c:pt idx="24">
                  <c:v>1935</c:v>
                </c:pt>
                <c:pt idx="25">
                  <c:v>1936</c:v>
                </c:pt>
                <c:pt idx="26">
                  <c:v>1937</c:v>
                </c:pt>
                <c:pt idx="27">
                  <c:v>1938</c:v>
                </c:pt>
                <c:pt idx="28">
                  <c:v>1939</c:v>
                </c:pt>
                <c:pt idx="29">
                  <c:v>1940</c:v>
                </c:pt>
                <c:pt idx="30">
                  <c:v>1941</c:v>
                </c:pt>
                <c:pt idx="31">
                  <c:v>1942</c:v>
                </c:pt>
                <c:pt idx="32">
                  <c:v>1943</c:v>
                </c:pt>
                <c:pt idx="33">
                  <c:v>1944</c:v>
                </c:pt>
                <c:pt idx="34">
                  <c:v>1945</c:v>
                </c:pt>
                <c:pt idx="35">
                  <c:v>1946</c:v>
                </c:pt>
                <c:pt idx="36">
                  <c:v>1947</c:v>
                </c:pt>
                <c:pt idx="37">
                  <c:v>1948</c:v>
                </c:pt>
                <c:pt idx="38">
                  <c:v>1949</c:v>
                </c:pt>
                <c:pt idx="39">
                  <c:v>1950</c:v>
                </c:pt>
                <c:pt idx="40">
                  <c:v>1951</c:v>
                </c:pt>
                <c:pt idx="41">
                  <c:v>1952</c:v>
                </c:pt>
                <c:pt idx="42">
                  <c:v>1953</c:v>
                </c:pt>
                <c:pt idx="43">
                  <c:v>1954</c:v>
                </c:pt>
                <c:pt idx="44">
                  <c:v>1955</c:v>
                </c:pt>
                <c:pt idx="45">
                  <c:v>1956</c:v>
                </c:pt>
                <c:pt idx="46">
                  <c:v>1957</c:v>
                </c:pt>
                <c:pt idx="47">
                  <c:v>1958</c:v>
                </c:pt>
                <c:pt idx="48">
                  <c:v>1959</c:v>
                </c:pt>
                <c:pt idx="49">
                  <c:v>1960</c:v>
                </c:pt>
                <c:pt idx="50">
                  <c:v>1961</c:v>
                </c:pt>
                <c:pt idx="51">
                  <c:v>1962</c:v>
                </c:pt>
                <c:pt idx="52">
                  <c:v>1963</c:v>
                </c:pt>
                <c:pt idx="53">
                  <c:v>1964</c:v>
                </c:pt>
                <c:pt idx="54">
                  <c:v>1965</c:v>
                </c:pt>
                <c:pt idx="55">
                  <c:v>1966</c:v>
                </c:pt>
                <c:pt idx="56">
                  <c:v>1967</c:v>
                </c:pt>
                <c:pt idx="57">
                  <c:v>1968</c:v>
                </c:pt>
                <c:pt idx="58">
                  <c:v>1969</c:v>
                </c:pt>
                <c:pt idx="59">
                  <c:v>1970</c:v>
                </c:pt>
                <c:pt idx="60">
                  <c:v>1971</c:v>
                </c:pt>
                <c:pt idx="61">
                  <c:v>1972</c:v>
                </c:pt>
                <c:pt idx="62">
                  <c:v>1973</c:v>
                </c:pt>
                <c:pt idx="63">
                  <c:v>1974</c:v>
                </c:pt>
                <c:pt idx="64">
                  <c:v>1975</c:v>
                </c:pt>
                <c:pt idx="65">
                  <c:v>1976</c:v>
                </c:pt>
                <c:pt idx="66">
                  <c:v>1977</c:v>
                </c:pt>
                <c:pt idx="67">
                  <c:v>1978</c:v>
                </c:pt>
                <c:pt idx="68">
                  <c:v>1979</c:v>
                </c:pt>
                <c:pt idx="69">
                  <c:v>1980</c:v>
                </c:pt>
                <c:pt idx="70">
                  <c:v>1981</c:v>
                </c:pt>
                <c:pt idx="71">
                  <c:v>1982</c:v>
                </c:pt>
                <c:pt idx="72">
                  <c:v>1983</c:v>
                </c:pt>
                <c:pt idx="73">
                  <c:v>1984</c:v>
                </c:pt>
                <c:pt idx="74">
                  <c:v>1985</c:v>
                </c:pt>
                <c:pt idx="75">
                  <c:v>1986</c:v>
                </c:pt>
                <c:pt idx="76">
                  <c:v>1987</c:v>
                </c:pt>
                <c:pt idx="77">
                  <c:v>1988</c:v>
                </c:pt>
                <c:pt idx="78">
                  <c:v>1989</c:v>
                </c:pt>
                <c:pt idx="79">
                  <c:v>1990</c:v>
                </c:pt>
                <c:pt idx="80">
                  <c:v>1991</c:v>
                </c:pt>
                <c:pt idx="81">
                  <c:v>1992</c:v>
                </c:pt>
                <c:pt idx="82">
                  <c:v>1993</c:v>
                </c:pt>
                <c:pt idx="83">
                  <c:v>1994</c:v>
                </c:pt>
                <c:pt idx="84">
                  <c:v>1995</c:v>
                </c:pt>
                <c:pt idx="85">
                  <c:v>1996</c:v>
                </c:pt>
                <c:pt idx="86">
                  <c:v>1997</c:v>
                </c:pt>
                <c:pt idx="87">
                  <c:v>1998</c:v>
                </c:pt>
                <c:pt idx="88">
                  <c:v>1999</c:v>
                </c:pt>
                <c:pt idx="89">
                  <c:v>2000</c:v>
                </c:pt>
                <c:pt idx="90">
                  <c:v>2001</c:v>
                </c:pt>
                <c:pt idx="91">
                  <c:v>2002</c:v>
                </c:pt>
                <c:pt idx="92">
                  <c:v>2003</c:v>
                </c:pt>
                <c:pt idx="93">
                  <c:v>2004</c:v>
                </c:pt>
                <c:pt idx="94">
                  <c:v>2005</c:v>
                </c:pt>
                <c:pt idx="95">
                  <c:v>2006</c:v>
                </c:pt>
                <c:pt idx="96">
                  <c:v>2007</c:v>
                </c:pt>
                <c:pt idx="97">
                  <c:v>2008</c:v>
                </c:pt>
              </c:numCache>
            </c:numRef>
          </c:cat>
          <c:val>
            <c:numRef>
              <c:f>'HD consolidated fin lev'!$C$7:$CV$7</c:f>
              <c:numCache>
                <c:formatCode>General</c:formatCode>
                <c:ptCount val="98"/>
                <c:pt idx="0">
                  <c:v>0.17519989304046604</c:v>
                </c:pt>
                <c:pt idx="1">
                  <c:v>0</c:v>
                </c:pt>
                <c:pt idx="2">
                  <c:v>0.20295185895235801</c:v>
                </c:pt>
                <c:pt idx="3">
                  <c:v>0</c:v>
                </c:pt>
                <c:pt idx="4">
                  <c:v>0</c:v>
                </c:pt>
                <c:pt idx="5">
                  <c:v>0.14194435739672512</c:v>
                </c:pt>
                <c:pt idx="6">
                  <c:v>0.19429975542267999</c:v>
                </c:pt>
                <c:pt idx="7">
                  <c:v>6.4248123659609094E-2</c:v>
                </c:pt>
                <c:pt idx="8">
                  <c:v>0.15214115292152106</c:v>
                </c:pt>
                <c:pt idx="9">
                  <c:v>0.18466868903821701</c:v>
                </c:pt>
                <c:pt idx="10">
                  <c:v>0.3368836709937163</c:v>
                </c:pt>
                <c:pt idx="11">
                  <c:v>0.32744871509720236</c:v>
                </c:pt>
                <c:pt idx="12">
                  <c:v>0.340334233653109</c:v>
                </c:pt>
                <c:pt idx="13">
                  <c:v>0.29398146199682224</c:v>
                </c:pt>
                <c:pt idx="14">
                  <c:v>0.30826649651431798</c:v>
                </c:pt>
                <c:pt idx="15">
                  <c:v>0.3069276726524563</c:v>
                </c:pt>
                <c:pt idx="16">
                  <c:v>0.37393628149176911</c:v>
                </c:pt>
                <c:pt idx="17">
                  <c:v>0.33040459300355923</c:v>
                </c:pt>
                <c:pt idx="18">
                  <c:v>0.27905636443472298</c:v>
                </c:pt>
                <c:pt idx="19">
                  <c:v>0.27945212354245214</c:v>
                </c:pt>
                <c:pt idx="20">
                  <c:v>0.29425733080419891</c:v>
                </c:pt>
                <c:pt idx="21">
                  <c:v>0.30313910776967412</c:v>
                </c:pt>
                <c:pt idx="22">
                  <c:v>0.28997165339665915</c:v>
                </c:pt>
                <c:pt idx="23">
                  <c:v>0.29060330164173687</c:v>
                </c:pt>
                <c:pt idx="24">
                  <c:v>0.28639740866986912</c:v>
                </c:pt>
                <c:pt idx="25">
                  <c:v>0.26767066064707312</c:v>
                </c:pt>
                <c:pt idx="26">
                  <c:v>0.26958123301639286</c:v>
                </c:pt>
                <c:pt idx="27">
                  <c:v>0.26331478119843121</c:v>
                </c:pt>
                <c:pt idx="28">
                  <c:v>0.24472623768971299</c:v>
                </c:pt>
                <c:pt idx="29">
                  <c:v>0.22417067544996294</c:v>
                </c:pt>
                <c:pt idx="30">
                  <c:v>0.17947909978272611</c:v>
                </c:pt>
                <c:pt idx="31">
                  <c:v>0.18232745377109508</c:v>
                </c:pt>
                <c:pt idx="32">
                  <c:v>9.9050788894234507E-2</c:v>
                </c:pt>
                <c:pt idx="33">
                  <c:v>0.13430622353667601</c:v>
                </c:pt>
                <c:pt idx="34">
                  <c:v>0.10588701029208797</c:v>
                </c:pt>
                <c:pt idx="35">
                  <c:v>0.10725889173558302</c:v>
                </c:pt>
                <c:pt idx="36">
                  <c:v>0.24564758110008206</c:v>
                </c:pt>
                <c:pt idx="37">
                  <c:v>0.23943455452275805</c:v>
                </c:pt>
                <c:pt idx="38">
                  <c:v>0.25035750031696102</c:v>
                </c:pt>
                <c:pt idx="39">
                  <c:v>0.22061380106212999</c:v>
                </c:pt>
                <c:pt idx="40">
                  <c:v>0.30854915065441402</c:v>
                </c:pt>
                <c:pt idx="41">
                  <c:v>0.28651059085841912</c:v>
                </c:pt>
                <c:pt idx="42">
                  <c:v>0.27199889487498513</c:v>
                </c:pt>
                <c:pt idx="43">
                  <c:v>0.28538113977554513</c:v>
                </c:pt>
                <c:pt idx="44">
                  <c:v>0.29630073027654913</c:v>
                </c:pt>
                <c:pt idx="45">
                  <c:v>0.28000450349020611</c:v>
                </c:pt>
                <c:pt idx="46">
                  <c:v>0.27007534983853593</c:v>
                </c:pt>
                <c:pt idx="47">
                  <c:v>0.2533263488737561</c:v>
                </c:pt>
                <c:pt idx="48">
                  <c:v>0.235881061664338</c:v>
                </c:pt>
                <c:pt idx="49">
                  <c:v>0.22632594021215</c:v>
                </c:pt>
                <c:pt idx="50">
                  <c:v>0.21506433166547712</c:v>
                </c:pt>
                <c:pt idx="51">
                  <c:v>0.21655567731602501</c:v>
                </c:pt>
                <c:pt idx="52">
                  <c:v>0.20491358598775505</c:v>
                </c:pt>
                <c:pt idx="53">
                  <c:v>0.18829623407532017</c:v>
                </c:pt>
                <c:pt idx="54">
                  <c:v>0.23372817193796599</c:v>
                </c:pt>
                <c:pt idx="55">
                  <c:v>0.28758956121542223</c:v>
                </c:pt>
                <c:pt idx="56">
                  <c:v>0.29293705286407101</c:v>
                </c:pt>
                <c:pt idx="57">
                  <c:v>0.30007151571242413</c:v>
                </c:pt>
                <c:pt idx="58">
                  <c:v>0.34001626948285529</c:v>
                </c:pt>
                <c:pt idx="59">
                  <c:v>0.35884297403208915</c:v>
                </c:pt>
                <c:pt idx="60">
                  <c:v>0.32003171305465622</c:v>
                </c:pt>
                <c:pt idx="61">
                  <c:v>0.31591512333073113</c:v>
                </c:pt>
                <c:pt idx="62">
                  <c:v>0.35533638148200913</c:v>
                </c:pt>
                <c:pt idx="63">
                  <c:v>0.38302023190731121</c:v>
                </c:pt>
                <c:pt idx="64">
                  <c:v>0.33833005281006712</c:v>
                </c:pt>
                <c:pt idx="65">
                  <c:v>0.32522063548617308</c:v>
                </c:pt>
                <c:pt idx="66">
                  <c:v>0.34574168121790111</c:v>
                </c:pt>
                <c:pt idx="67">
                  <c:v>0.36294730555663701</c:v>
                </c:pt>
                <c:pt idx="68">
                  <c:v>0.348442339506295</c:v>
                </c:pt>
                <c:pt idx="69">
                  <c:v>0.30921038055607508</c:v>
                </c:pt>
                <c:pt idx="70">
                  <c:v>0.28370081834776012</c:v>
                </c:pt>
                <c:pt idx="71">
                  <c:v>0.22544312064876601</c:v>
                </c:pt>
                <c:pt idx="72">
                  <c:v>0.15960008457189612</c:v>
                </c:pt>
                <c:pt idx="73">
                  <c:v>0.15979152275431899</c:v>
                </c:pt>
                <c:pt idx="74">
                  <c:v>0.22780387371952496</c:v>
                </c:pt>
                <c:pt idx="75">
                  <c:v>0.35898935582758812</c:v>
                </c:pt>
                <c:pt idx="76">
                  <c:v>0.43197206186302223</c:v>
                </c:pt>
                <c:pt idx="77">
                  <c:v>0.41442047735632515</c:v>
                </c:pt>
                <c:pt idx="78">
                  <c:v>0.39547060978925841</c:v>
                </c:pt>
                <c:pt idx="79">
                  <c:v>0.40378865634343297</c:v>
                </c:pt>
                <c:pt idx="80">
                  <c:v>0.31034604312320313</c:v>
                </c:pt>
                <c:pt idx="81">
                  <c:v>0.22708642292466993</c:v>
                </c:pt>
                <c:pt idx="82">
                  <c:v>0.168324225649293</c:v>
                </c:pt>
                <c:pt idx="83">
                  <c:v>0.14639439676433011</c:v>
                </c:pt>
                <c:pt idx="84">
                  <c:v>0.15799419792432912</c:v>
                </c:pt>
                <c:pt idx="85">
                  <c:v>0.14234165305320601</c:v>
                </c:pt>
                <c:pt idx="86">
                  <c:v>0.1362453868957601</c:v>
                </c:pt>
                <c:pt idx="87">
                  <c:v>0.18658457121811595</c:v>
                </c:pt>
                <c:pt idx="88">
                  <c:v>0.27111413001999601</c:v>
                </c:pt>
                <c:pt idx="89">
                  <c:v>0.26847729952830202</c:v>
                </c:pt>
                <c:pt idx="90">
                  <c:v>0.26406618860496411</c:v>
                </c:pt>
                <c:pt idx="91">
                  <c:v>0.27704501544125493</c:v>
                </c:pt>
                <c:pt idx="92">
                  <c:v>0.33836926460298322</c:v>
                </c:pt>
                <c:pt idx="93">
                  <c:v>0.34352488613888621</c:v>
                </c:pt>
                <c:pt idx="94">
                  <c:v>0.34702758046970111</c:v>
                </c:pt>
                <c:pt idx="95">
                  <c:v>0.42415878794997236</c:v>
                </c:pt>
                <c:pt idx="96">
                  <c:v>0.27485312081903301</c:v>
                </c:pt>
                <c:pt idx="97">
                  <c:v>0.32700643635886423</c:v>
                </c:pt>
              </c:numCache>
            </c:numRef>
          </c:val>
        </c:ser>
        <c:marker val="1"/>
        <c:axId val="69362816"/>
        <c:axId val="69364352"/>
      </c:lineChart>
      <c:catAx>
        <c:axId val="69362816"/>
        <c:scaling>
          <c:orientation val="minMax"/>
        </c:scaling>
        <c:axPos val="b"/>
        <c:numFmt formatCode="General" sourceLinked="1"/>
        <c:tickLblPos val="nextTo"/>
        <c:txPr>
          <a:bodyPr/>
          <a:lstStyle/>
          <a:p>
            <a:pPr>
              <a:defRPr lang="en-IN"/>
            </a:pPr>
            <a:endParaRPr lang="en-US"/>
          </a:p>
        </c:txPr>
        <c:crossAx val="69364352"/>
        <c:crosses val="autoZero"/>
        <c:auto val="1"/>
        <c:lblAlgn val="ctr"/>
        <c:lblOffset val="100"/>
      </c:catAx>
      <c:valAx>
        <c:axId val="69364352"/>
        <c:scaling>
          <c:orientation val="minMax"/>
        </c:scaling>
        <c:axPos val="l"/>
        <c:majorGridlines/>
        <c:numFmt formatCode="#,##0.000" sourceLinked="0"/>
        <c:tickLblPos val="nextTo"/>
        <c:txPr>
          <a:bodyPr/>
          <a:lstStyle/>
          <a:p>
            <a:pPr>
              <a:defRPr lang="en-IN">
                <a:latin typeface="Times New Roman" pitchFamily="18" charset="0"/>
                <a:cs typeface="Times New Roman" pitchFamily="18" charset="0"/>
              </a:defRPr>
            </a:pPr>
            <a:endParaRPr lang="en-US"/>
          </a:p>
        </c:txPr>
        <c:crossAx val="69362816"/>
        <c:crosses val="autoZero"/>
        <c:crossBetween val="between"/>
        <c:majorUnit val="0.1"/>
      </c:valAx>
    </c:plotArea>
    <c:plotVisOnly val="1"/>
    <c:dispBlanksAs val="gap"/>
  </c:chart>
  <c:spPr>
    <a:ln>
      <a:noFill/>
    </a:ln>
  </c:spPr>
  <c:externalData r:id="rId2"/>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sz="1000">
                <a:latin typeface="Times New Roman" pitchFamily="18" charset="0"/>
                <a:cs typeface="Times New Roman" pitchFamily="18" charset="0"/>
              </a:defRPr>
            </a:pPr>
            <a:r>
              <a:rPr lang="en-US"/>
              <a:t>Altria </a:t>
            </a:r>
            <a:r>
              <a:rPr lang="en-US" baseline="0"/>
              <a:t>(Philip Morris)</a:t>
            </a:r>
            <a:endParaRPr lang="en-US"/>
          </a:p>
        </c:rich>
      </c:tx>
      <c:layout>
        <c:manualLayout>
          <c:xMode val="edge"/>
          <c:yMode val="edge"/>
          <c:x val="0.38372042325294425"/>
          <c:y val="6.9013811798115735E-2"/>
        </c:manualLayout>
      </c:layout>
    </c:title>
    <c:plotArea>
      <c:layout>
        <c:manualLayout>
          <c:layoutTarget val="inner"/>
          <c:xMode val="edge"/>
          <c:yMode val="edge"/>
          <c:x val="0.12241627217887203"/>
          <c:y val="5.9550509674662695E-2"/>
          <c:w val="0.78205999362523504"/>
          <c:h val="0.72051255385529378"/>
        </c:manualLayout>
      </c:layout>
      <c:lineChart>
        <c:grouping val="standard"/>
        <c:ser>
          <c:idx val="0"/>
          <c:order val="0"/>
          <c:tx>
            <c:strRef>
              <c:f>'DJIA 24 DebttoTA'!$D$2</c:f>
              <c:strCache>
                <c:ptCount val="1"/>
                <c:pt idx="0">
                  <c:v>Altria Debt/Total Assets</c:v>
                </c:pt>
              </c:strCache>
            </c:strRef>
          </c:tx>
          <c:spPr>
            <a:ln w="28575">
              <a:solidFill>
                <a:schemeClr val="tx1"/>
              </a:solidFill>
            </a:ln>
          </c:spPr>
          <c:marker>
            <c:symbol val="none"/>
          </c:marker>
          <c:cat>
            <c:numRef>
              <c:f>'DJIA 24 DebttoTA'!$E$1:$CO$1</c:f>
              <c:numCache>
                <c:formatCode>General</c:formatCode>
                <c:ptCount val="89"/>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pt idx="17">
                  <c:v>1937</c:v>
                </c:pt>
                <c:pt idx="18">
                  <c:v>1938</c:v>
                </c:pt>
                <c:pt idx="19">
                  <c:v>1939</c:v>
                </c:pt>
                <c:pt idx="20">
                  <c:v>1940</c:v>
                </c:pt>
                <c:pt idx="21">
                  <c:v>1941</c:v>
                </c:pt>
                <c:pt idx="22">
                  <c:v>1942</c:v>
                </c:pt>
                <c:pt idx="23">
                  <c:v>1943</c:v>
                </c:pt>
                <c:pt idx="24">
                  <c:v>1944</c:v>
                </c:pt>
                <c:pt idx="25">
                  <c:v>1945</c:v>
                </c:pt>
                <c:pt idx="26">
                  <c:v>1946</c:v>
                </c:pt>
                <c:pt idx="27">
                  <c:v>1947</c:v>
                </c:pt>
                <c:pt idx="28">
                  <c:v>1948</c:v>
                </c:pt>
                <c:pt idx="29">
                  <c:v>1949</c:v>
                </c:pt>
                <c:pt idx="30">
                  <c:v>1950</c:v>
                </c:pt>
                <c:pt idx="31">
                  <c:v>1951</c:v>
                </c:pt>
                <c:pt idx="32">
                  <c:v>1952</c:v>
                </c:pt>
                <c:pt idx="33">
                  <c:v>1953</c:v>
                </c:pt>
                <c:pt idx="34">
                  <c:v>1954</c:v>
                </c:pt>
                <c:pt idx="35">
                  <c:v>1955</c:v>
                </c:pt>
                <c:pt idx="36">
                  <c:v>1956</c:v>
                </c:pt>
                <c:pt idx="37">
                  <c:v>1957</c:v>
                </c:pt>
                <c:pt idx="38">
                  <c:v>1958</c:v>
                </c:pt>
                <c:pt idx="39">
                  <c:v>1959</c:v>
                </c:pt>
                <c:pt idx="40">
                  <c:v>1960</c:v>
                </c:pt>
                <c:pt idx="41">
                  <c:v>1961</c:v>
                </c:pt>
                <c:pt idx="42">
                  <c:v>1962</c:v>
                </c:pt>
                <c:pt idx="43">
                  <c:v>1963</c:v>
                </c:pt>
                <c:pt idx="44">
                  <c:v>1964</c:v>
                </c:pt>
                <c:pt idx="45">
                  <c:v>1965</c:v>
                </c:pt>
                <c:pt idx="46">
                  <c:v>1966</c:v>
                </c:pt>
                <c:pt idx="47">
                  <c:v>1967</c:v>
                </c:pt>
                <c:pt idx="48">
                  <c:v>1968</c:v>
                </c:pt>
                <c:pt idx="49">
                  <c:v>1969</c:v>
                </c:pt>
                <c:pt idx="50">
                  <c:v>1970</c:v>
                </c:pt>
                <c:pt idx="51">
                  <c:v>1971</c:v>
                </c:pt>
                <c:pt idx="52">
                  <c:v>1972</c:v>
                </c:pt>
                <c:pt idx="53">
                  <c:v>1973</c:v>
                </c:pt>
                <c:pt idx="54">
                  <c:v>1974</c:v>
                </c:pt>
                <c:pt idx="55">
                  <c:v>1975</c:v>
                </c:pt>
                <c:pt idx="56">
                  <c:v>1976</c:v>
                </c:pt>
                <c:pt idx="57">
                  <c:v>1977</c:v>
                </c:pt>
                <c:pt idx="58">
                  <c:v>1978</c:v>
                </c:pt>
                <c:pt idx="59">
                  <c:v>1979</c:v>
                </c:pt>
                <c:pt idx="60">
                  <c:v>1980</c:v>
                </c:pt>
                <c:pt idx="61">
                  <c:v>1981</c:v>
                </c:pt>
                <c:pt idx="62">
                  <c:v>1982</c:v>
                </c:pt>
                <c:pt idx="63">
                  <c:v>1983</c:v>
                </c:pt>
                <c:pt idx="64">
                  <c:v>1984</c:v>
                </c:pt>
                <c:pt idx="65">
                  <c:v>1985</c:v>
                </c:pt>
                <c:pt idx="66">
                  <c:v>1986</c:v>
                </c:pt>
                <c:pt idx="67">
                  <c:v>1987</c:v>
                </c:pt>
                <c:pt idx="68">
                  <c:v>1988</c:v>
                </c:pt>
                <c:pt idx="69">
                  <c:v>1989</c:v>
                </c:pt>
                <c:pt idx="70">
                  <c:v>1990</c:v>
                </c:pt>
                <c:pt idx="71">
                  <c:v>1991</c:v>
                </c:pt>
                <c:pt idx="72">
                  <c:v>1992</c:v>
                </c:pt>
                <c:pt idx="73">
                  <c:v>1993</c:v>
                </c:pt>
                <c:pt idx="74">
                  <c:v>1994</c:v>
                </c:pt>
                <c:pt idx="75">
                  <c:v>1995</c:v>
                </c:pt>
                <c:pt idx="76">
                  <c:v>1996</c:v>
                </c:pt>
                <c:pt idx="77">
                  <c:v>1997</c:v>
                </c:pt>
                <c:pt idx="78">
                  <c:v>1998</c:v>
                </c:pt>
                <c:pt idx="79">
                  <c:v>1999</c:v>
                </c:pt>
                <c:pt idx="80">
                  <c:v>2000</c:v>
                </c:pt>
                <c:pt idx="81">
                  <c:v>2001</c:v>
                </c:pt>
                <c:pt idx="82">
                  <c:v>2002</c:v>
                </c:pt>
                <c:pt idx="83">
                  <c:v>2003</c:v>
                </c:pt>
                <c:pt idx="84">
                  <c:v>2004</c:v>
                </c:pt>
                <c:pt idx="85">
                  <c:v>2005</c:v>
                </c:pt>
                <c:pt idx="86">
                  <c:v>2006</c:v>
                </c:pt>
                <c:pt idx="87">
                  <c:v>2007</c:v>
                </c:pt>
                <c:pt idx="88">
                  <c:v>2008</c:v>
                </c:pt>
              </c:numCache>
            </c:numRef>
          </c:cat>
          <c:val>
            <c:numRef>
              <c:f>'DJIA 24 DebttoTA'!$E$2:$CO$2</c:f>
              <c:numCache>
                <c:formatCode>0.000</c:formatCode>
                <c:ptCount val="89"/>
                <c:pt idx="0">
                  <c:v>0</c:v>
                </c:pt>
                <c:pt idx="1">
                  <c:v>0</c:v>
                </c:pt>
                <c:pt idx="2">
                  <c:v>0</c:v>
                </c:pt>
                <c:pt idx="3">
                  <c:v>0</c:v>
                </c:pt>
                <c:pt idx="4">
                  <c:v>0</c:v>
                </c:pt>
                <c:pt idx="5">
                  <c:v>0</c:v>
                </c:pt>
                <c:pt idx="6">
                  <c:v>3.5396961403365713E-2</c:v>
                </c:pt>
                <c:pt idx="7">
                  <c:v>0</c:v>
                </c:pt>
                <c:pt idx="8">
                  <c:v>0</c:v>
                </c:pt>
                <c:pt idx="9">
                  <c:v>0</c:v>
                </c:pt>
                <c:pt idx="10">
                  <c:v>0</c:v>
                </c:pt>
                <c:pt idx="11">
                  <c:v>0</c:v>
                </c:pt>
                <c:pt idx="12">
                  <c:v>0</c:v>
                </c:pt>
                <c:pt idx="13">
                  <c:v>0</c:v>
                </c:pt>
                <c:pt idx="14">
                  <c:v>0.2709682148907071</c:v>
                </c:pt>
                <c:pt idx="15">
                  <c:v>0.2781526156733411</c:v>
                </c:pt>
                <c:pt idx="16">
                  <c:v>0.27373411104456602</c:v>
                </c:pt>
                <c:pt idx="17">
                  <c:v>0.30265763981307298</c:v>
                </c:pt>
                <c:pt idx="18">
                  <c:v>0.18845906819805999</c:v>
                </c:pt>
                <c:pt idx="19">
                  <c:v>0.21299368838501206</c:v>
                </c:pt>
                <c:pt idx="20">
                  <c:v>9.5631348348275207E-4</c:v>
                </c:pt>
                <c:pt idx="21">
                  <c:v>0.11624759247076498</c:v>
                </c:pt>
                <c:pt idx="22">
                  <c:v>0.13471810049371499</c:v>
                </c:pt>
                <c:pt idx="23">
                  <c:v>0.18694512907499611</c:v>
                </c:pt>
                <c:pt idx="24">
                  <c:v>0.25910120431314493</c:v>
                </c:pt>
                <c:pt idx="25">
                  <c:v>0.42239915792988214</c:v>
                </c:pt>
                <c:pt idx="26">
                  <c:v>0.32121452324784033</c:v>
                </c:pt>
                <c:pt idx="27">
                  <c:v>0.28136623283041812</c:v>
                </c:pt>
                <c:pt idx="28">
                  <c:v>0.39667607458621013</c:v>
                </c:pt>
                <c:pt idx="29">
                  <c:v>0.462730219455809</c:v>
                </c:pt>
                <c:pt idx="30">
                  <c:v>0.42192429022082423</c:v>
                </c:pt>
                <c:pt idx="31">
                  <c:v>0.44134288947567113</c:v>
                </c:pt>
                <c:pt idx="32">
                  <c:v>0.38285476487724035</c:v>
                </c:pt>
                <c:pt idx="33">
                  <c:v>0.33712269698157821</c:v>
                </c:pt>
                <c:pt idx="34">
                  <c:v>0.30858564910825514</c:v>
                </c:pt>
                <c:pt idx="35">
                  <c:v>0.36964831804281512</c:v>
                </c:pt>
                <c:pt idx="36">
                  <c:v>0.3965149359886242</c:v>
                </c:pt>
                <c:pt idx="37">
                  <c:v>0.38064948108470215</c:v>
                </c:pt>
                <c:pt idx="38">
                  <c:v>0.3760077394388911</c:v>
                </c:pt>
                <c:pt idx="39">
                  <c:v>0.32626976118399115</c:v>
                </c:pt>
                <c:pt idx="40">
                  <c:v>0.27479017718371102</c:v>
                </c:pt>
                <c:pt idx="41">
                  <c:v>0.31509971509971713</c:v>
                </c:pt>
                <c:pt idx="42">
                  <c:v>0.33093714385903511</c:v>
                </c:pt>
                <c:pt idx="43">
                  <c:v>0.35086209297086429</c:v>
                </c:pt>
                <c:pt idx="44">
                  <c:v>0.3585926928281461</c:v>
                </c:pt>
                <c:pt idx="45">
                  <c:v>0.33905211237401223</c:v>
                </c:pt>
                <c:pt idx="46">
                  <c:v>0.314243902439024</c:v>
                </c:pt>
                <c:pt idx="47">
                  <c:v>0.39506933744222011</c:v>
                </c:pt>
                <c:pt idx="48">
                  <c:v>0.45105517416730201</c:v>
                </c:pt>
                <c:pt idx="49">
                  <c:v>0.50220739813760751</c:v>
                </c:pt>
                <c:pt idx="50">
                  <c:v>0.45012844676236702</c:v>
                </c:pt>
                <c:pt idx="51">
                  <c:v>0.39793252324833911</c:v>
                </c:pt>
                <c:pt idx="52">
                  <c:v>0.400240024355067</c:v>
                </c:pt>
                <c:pt idx="53">
                  <c:v>0.4493277613435413</c:v>
                </c:pt>
                <c:pt idx="54">
                  <c:v>0.46708976833431315</c:v>
                </c:pt>
                <c:pt idx="55">
                  <c:v>0.46047235050608987</c:v>
                </c:pt>
                <c:pt idx="56">
                  <c:v>0.42589319213178001</c:v>
                </c:pt>
                <c:pt idx="57">
                  <c:v>0.3862360941858981</c:v>
                </c:pt>
                <c:pt idx="58">
                  <c:v>0.42298704031268913</c:v>
                </c:pt>
                <c:pt idx="59">
                  <c:v>0.39448652451761224</c:v>
                </c:pt>
                <c:pt idx="60">
                  <c:v>0.38025364116566812</c:v>
                </c:pt>
                <c:pt idx="61">
                  <c:v>0.41175565198664998</c:v>
                </c:pt>
                <c:pt idx="62">
                  <c:v>0.38684911464682598</c:v>
                </c:pt>
                <c:pt idx="63">
                  <c:v>0.32713343310020498</c:v>
                </c:pt>
                <c:pt idx="64">
                  <c:v>0.3082103462129081</c:v>
                </c:pt>
                <c:pt idx="65">
                  <c:v>0.47879328688168399</c:v>
                </c:pt>
                <c:pt idx="66">
                  <c:v>0.41614545120772101</c:v>
                </c:pt>
                <c:pt idx="67">
                  <c:v>0.36397766202074522</c:v>
                </c:pt>
                <c:pt idx="68">
                  <c:v>0.48555194805194801</c:v>
                </c:pt>
                <c:pt idx="69">
                  <c:v>0.4263133305647841</c:v>
                </c:pt>
                <c:pt idx="70">
                  <c:v>0.4024565698211261</c:v>
                </c:pt>
                <c:pt idx="71">
                  <c:v>0.35666047611008111</c:v>
                </c:pt>
                <c:pt idx="72">
                  <c:v>0.36395809173431615</c:v>
                </c:pt>
                <c:pt idx="73">
                  <c:v>0.35457474855971111</c:v>
                </c:pt>
                <c:pt idx="74">
                  <c:v>0.31286444186974632</c:v>
                </c:pt>
                <c:pt idx="75">
                  <c:v>0.294103436100426</c:v>
                </c:pt>
                <c:pt idx="76">
                  <c:v>0.27774234112737101</c:v>
                </c:pt>
                <c:pt idx="77">
                  <c:v>0.25207785940264898</c:v>
                </c:pt>
                <c:pt idx="78">
                  <c:v>0.24469292389853101</c:v>
                </c:pt>
                <c:pt idx="79">
                  <c:v>0.23570811814731008</c:v>
                </c:pt>
                <c:pt idx="80">
                  <c:v>0.36832053827766725</c:v>
                </c:pt>
                <c:pt idx="81">
                  <c:v>0.26012145748987908</c:v>
                </c:pt>
                <c:pt idx="82">
                  <c:v>0.26639250628284522</c:v>
                </c:pt>
                <c:pt idx="83">
                  <c:v>0.25514946711723402</c:v>
                </c:pt>
                <c:pt idx="84">
                  <c:v>0.226074295608374</c:v>
                </c:pt>
                <c:pt idx="85">
                  <c:v>0.22356853699432105</c:v>
                </c:pt>
                <c:pt idx="86">
                  <c:v>0.17933250215785901</c:v>
                </c:pt>
                <c:pt idx="87">
                  <c:v>0.19307475835066695</c:v>
                </c:pt>
                <c:pt idx="88">
                  <c:v>0.27462796252067012</c:v>
                </c:pt>
              </c:numCache>
            </c:numRef>
          </c:val>
        </c:ser>
        <c:marker val="1"/>
        <c:axId val="69393408"/>
        <c:axId val="70009600"/>
      </c:lineChart>
      <c:catAx>
        <c:axId val="69393408"/>
        <c:scaling>
          <c:orientation val="minMax"/>
        </c:scaling>
        <c:axPos val="b"/>
        <c:numFmt formatCode="General" sourceLinked="1"/>
        <c:tickLblPos val="nextTo"/>
        <c:txPr>
          <a:bodyPr/>
          <a:lstStyle/>
          <a:p>
            <a:pPr>
              <a:defRPr lang="en-IN">
                <a:latin typeface="Times New Roman" pitchFamily="18" charset="0"/>
                <a:cs typeface="Times New Roman" pitchFamily="18" charset="0"/>
              </a:defRPr>
            </a:pPr>
            <a:endParaRPr lang="en-US"/>
          </a:p>
        </c:txPr>
        <c:crossAx val="70009600"/>
        <c:crosses val="autoZero"/>
        <c:auto val="1"/>
        <c:lblAlgn val="ctr"/>
        <c:lblOffset val="100"/>
      </c:catAx>
      <c:valAx>
        <c:axId val="70009600"/>
        <c:scaling>
          <c:orientation val="minMax"/>
        </c:scaling>
        <c:axPos val="l"/>
        <c:majorGridlines/>
        <c:numFmt formatCode="0.000" sourceLinked="1"/>
        <c:tickLblPos val="nextTo"/>
        <c:txPr>
          <a:bodyPr/>
          <a:lstStyle/>
          <a:p>
            <a:pPr>
              <a:defRPr lang="en-IN">
                <a:latin typeface="Times New Roman" pitchFamily="18" charset="0"/>
                <a:cs typeface="Times New Roman" pitchFamily="18" charset="0"/>
              </a:defRPr>
            </a:pPr>
            <a:endParaRPr lang="en-US"/>
          </a:p>
        </c:txPr>
        <c:crossAx val="69393408"/>
        <c:crosses val="autoZero"/>
        <c:crossBetween val="between"/>
      </c:valAx>
    </c:plotArea>
    <c:plotVisOnly val="1"/>
    <c:dispBlanksAs val="gap"/>
  </c:chart>
  <c:spPr>
    <a:ln>
      <a:noFill/>
    </a:ln>
  </c:sp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diagram'!$B$35</c:f>
              <c:strCache>
                <c:ptCount val="1"/>
                <c:pt idx="0">
                  <c:v>TotDebttoTA </c:v>
                </c:pt>
              </c:strCache>
            </c:strRef>
          </c:tx>
          <c:spPr>
            <a:ln>
              <a:solidFill>
                <a:schemeClr val="tx1"/>
              </a:solidFill>
            </a:ln>
          </c:spPr>
          <c:marker>
            <c:symbol val="none"/>
          </c:marker>
          <c:cat>
            <c:numRef>
              <c:f>'HD diagram'!$C$34:$CG$34</c:f>
              <c:numCache>
                <c:formatCode>General</c:formatCode>
                <c:ptCount val="83"/>
                <c:pt idx="0">
                  <c:v>1926</c:v>
                </c:pt>
                <c:pt idx="1">
                  <c:v>1927</c:v>
                </c:pt>
                <c:pt idx="2">
                  <c:v>1928</c:v>
                </c:pt>
                <c:pt idx="3">
                  <c:v>1929</c:v>
                </c:pt>
                <c:pt idx="4">
                  <c:v>1930</c:v>
                </c:pt>
                <c:pt idx="5">
                  <c:v>1931</c:v>
                </c:pt>
                <c:pt idx="6">
                  <c:v>1932</c:v>
                </c:pt>
                <c:pt idx="7">
                  <c:v>1933</c:v>
                </c:pt>
                <c:pt idx="8">
                  <c:v>1934</c:v>
                </c:pt>
                <c:pt idx="9">
                  <c:v>1935</c:v>
                </c:pt>
                <c:pt idx="10">
                  <c:v>1936</c:v>
                </c:pt>
                <c:pt idx="11">
                  <c:v>1937</c:v>
                </c:pt>
                <c:pt idx="12">
                  <c:v>1938</c:v>
                </c:pt>
                <c:pt idx="13">
                  <c:v>1939</c:v>
                </c:pt>
                <c:pt idx="14">
                  <c:v>1940</c:v>
                </c:pt>
                <c:pt idx="15">
                  <c:v>1941</c:v>
                </c:pt>
                <c:pt idx="16">
                  <c:v>1942</c:v>
                </c:pt>
                <c:pt idx="17">
                  <c:v>1943</c:v>
                </c:pt>
                <c:pt idx="18">
                  <c:v>1944</c:v>
                </c:pt>
                <c:pt idx="19">
                  <c:v>1945</c:v>
                </c:pt>
                <c:pt idx="20">
                  <c:v>1946</c:v>
                </c:pt>
                <c:pt idx="21">
                  <c:v>1947</c:v>
                </c:pt>
                <c:pt idx="22">
                  <c:v>1948</c:v>
                </c:pt>
                <c:pt idx="23">
                  <c:v>1949</c:v>
                </c:pt>
                <c:pt idx="24">
                  <c:v>1950</c:v>
                </c:pt>
                <c:pt idx="25">
                  <c:v>1951</c:v>
                </c:pt>
                <c:pt idx="26">
                  <c:v>1952</c:v>
                </c:pt>
                <c:pt idx="27">
                  <c:v>1953</c:v>
                </c:pt>
                <c:pt idx="28">
                  <c:v>1954</c:v>
                </c:pt>
                <c:pt idx="29">
                  <c:v>1955</c:v>
                </c:pt>
                <c:pt idx="30">
                  <c:v>1956</c:v>
                </c:pt>
                <c:pt idx="31">
                  <c:v>1957</c:v>
                </c:pt>
                <c:pt idx="32">
                  <c:v>1958</c:v>
                </c:pt>
                <c:pt idx="33">
                  <c:v>1959</c:v>
                </c:pt>
                <c:pt idx="34">
                  <c:v>1960</c:v>
                </c:pt>
                <c:pt idx="35">
                  <c:v>1961</c:v>
                </c:pt>
                <c:pt idx="36">
                  <c:v>1962</c:v>
                </c:pt>
                <c:pt idx="37">
                  <c:v>1963</c:v>
                </c:pt>
                <c:pt idx="38">
                  <c:v>1964</c:v>
                </c:pt>
                <c:pt idx="39">
                  <c:v>1965</c:v>
                </c:pt>
                <c:pt idx="40">
                  <c:v>1966</c:v>
                </c:pt>
                <c:pt idx="41">
                  <c:v>1967</c:v>
                </c:pt>
                <c:pt idx="42">
                  <c:v>1968</c:v>
                </c:pt>
                <c:pt idx="43">
                  <c:v>1969</c:v>
                </c:pt>
                <c:pt idx="44">
                  <c:v>1970</c:v>
                </c:pt>
                <c:pt idx="45">
                  <c:v>1971</c:v>
                </c:pt>
                <c:pt idx="46">
                  <c:v>1972</c:v>
                </c:pt>
                <c:pt idx="47">
                  <c:v>1973</c:v>
                </c:pt>
                <c:pt idx="48">
                  <c:v>1974</c:v>
                </c:pt>
                <c:pt idx="49">
                  <c:v>1975</c:v>
                </c:pt>
                <c:pt idx="50">
                  <c:v>1976</c:v>
                </c:pt>
                <c:pt idx="51">
                  <c:v>1977</c:v>
                </c:pt>
                <c:pt idx="52">
                  <c:v>1978</c:v>
                </c:pt>
                <c:pt idx="53">
                  <c:v>1979</c:v>
                </c:pt>
                <c:pt idx="54">
                  <c:v>1980</c:v>
                </c:pt>
                <c:pt idx="55">
                  <c:v>1981</c:v>
                </c:pt>
                <c:pt idx="56">
                  <c:v>1982</c:v>
                </c:pt>
                <c:pt idx="57">
                  <c:v>1983</c:v>
                </c:pt>
                <c:pt idx="58">
                  <c:v>1984</c:v>
                </c:pt>
                <c:pt idx="59">
                  <c:v>1985</c:v>
                </c:pt>
                <c:pt idx="60">
                  <c:v>1986</c:v>
                </c:pt>
                <c:pt idx="61">
                  <c:v>1987</c:v>
                </c:pt>
                <c:pt idx="62">
                  <c:v>1988</c:v>
                </c:pt>
                <c:pt idx="63">
                  <c:v>1989</c:v>
                </c:pt>
                <c:pt idx="64">
                  <c:v>1990</c:v>
                </c:pt>
                <c:pt idx="65">
                  <c:v>1991</c:v>
                </c:pt>
                <c:pt idx="66">
                  <c:v>1992</c:v>
                </c:pt>
                <c:pt idx="67">
                  <c:v>1993</c:v>
                </c:pt>
                <c:pt idx="68">
                  <c:v>1994</c:v>
                </c:pt>
                <c:pt idx="69">
                  <c:v>1995</c:v>
                </c:pt>
                <c:pt idx="70">
                  <c:v>1996</c:v>
                </c:pt>
                <c:pt idx="71">
                  <c:v>1997</c:v>
                </c:pt>
                <c:pt idx="72">
                  <c:v>1998</c:v>
                </c:pt>
                <c:pt idx="73">
                  <c:v>1999</c:v>
                </c:pt>
                <c:pt idx="74">
                  <c:v>2000</c:v>
                </c:pt>
                <c:pt idx="75">
                  <c:v>2001</c:v>
                </c:pt>
                <c:pt idx="76">
                  <c:v>2002</c:v>
                </c:pt>
                <c:pt idx="77">
                  <c:v>2003</c:v>
                </c:pt>
                <c:pt idx="78">
                  <c:v>2004</c:v>
                </c:pt>
                <c:pt idx="79">
                  <c:v>2005</c:v>
                </c:pt>
                <c:pt idx="80">
                  <c:v>2006</c:v>
                </c:pt>
                <c:pt idx="81">
                  <c:v>2007</c:v>
                </c:pt>
                <c:pt idx="82">
                  <c:v>2008</c:v>
                </c:pt>
              </c:numCache>
            </c:numRef>
          </c:cat>
          <c:val>
            <c:numRef>
              <c:f>'HD diagram'!$C$35:$CG$35</c:f>
              <c:numCache>
                <c:formatCode>0.00000</c:formatCode>
                <c:ptCount val="83"/>
                <c:pt idx="0">
                  <c:v>5.8973604251539736E-3</c:v>
                </c:pt>
                <c:pt idx="1">
                  <c:v>3.0280809146204006E-2</c:v>
                </c:pt>
                <c:pt idx="2">
                  <c:v>4.1189491298709101E-2</c:v>
                </c:pt>
                <c:pt idx="3">
                  <c:v>4.0969321770548415E-3</c:v>
                </c:pt>
                <c:pt idx="4">
                  <c:v>3.83886601113801E-3</c:v>
                </c:pt>
                <c:pt idx="5">
                  <c:v>3.4659816434897709E-3</c:v>
                </c:pt>
                <c:pt idx="6">
                  <c:v>3.2565261025997608E-3</c:v>
                </c:pt>
                <c:pt idx="7">
                  <c:v>3.4120411998617289E-3</c:v>
                </c:pt>
                <c:pt idx="8">
                  <c:v>3.3831671065424817E-3</c:v>
                </c:pt>
                <c:pt idx="9">
                  <c:v>9.929304501471603E-2</c:v>
                </c:pt>
                <c:pt idx="10">
                  <c:v>9.6673480571386208E-2</c:v>
                </c:pt>
                <c:pt idx="11">
                  <c:v>0.15665070225882594</c:v>
                </c:pt>
                <c:pt idx="12">
                  <c:v>0.17431579656103308</c:v>
                </c:pt>
                <c:pt idx="13">
                  <c:v>0.21110058574982299</c:v>
                </c:pt>
                <c:pt idx="14">
                  <c:v>0.203360223049942</c:v>
                </c:pt>
                <c:pt idx="15">
                  <c:v>0.28951455060023101</c:v>
                </c:pt>
                <c:pt idx="16">
                  <c:v>0.29147812870858902</c:v>
                </c:pt>
                <c:pt idx="17">
                  <c:v>0.29183334615095402</c:v>
                </c:pt>
                <c:pt idx="18">
                  <c:v>0.4205100857726643</c:v>
                </c:pt>
                <c:pt idx="19">
                  <c:v>0.45516014808649591</c:v>
                </c:pt>
                <c:pt idx="20">
                  <c:v>0.48517686815450323</c:v>
                </c:pt>
                <c:pt idx="21">
                  <c:v>0.46256402858998202</c:v>
                </c:pt>
                <c:pt idx="22">
                  <c:v>0.44863903081081091</c:v>
                </c:pt>
                <c:pt idx="23">
                  <c:v>0.43481793649610501</c:v>
                </c:pt>
                <c:pt idx="24">
                  <c:v>0.45412461491021711</c:v>
                </c:pt>
                <c:pt idx="25">
                  <c:v>0.48318584070796711</c:v>
                </c:pt>
                <c:pt idx="26">
                  <c:v>0.44254341164453487</c:v>
                </c:pt>
                <c:pt idx="27">
                  <c:v>0.41992260641617801</c:v>
                </c:pt>
                <c:pt idx="28">
                  <c:v>0.40056744905855002</c:v>
                </c:pt>
                <c:pt idx="29">
                  <c:v>0.38380940501439514</c:v>
                </c:pt>
                <c:pt idx="30">
                  <c:v>0.36032388663972614</c:v>
                </c:pt>
                <c:pt idx="31">
                  <c:v>0.34850343473994411</c:v>
                </c:pt>
                <c:pt idx="32">
                  <c:v>0.30370370370370398</c:v>
                </c:pt>
                <c:pt idx="33">
                  <c:v>0.27365158090514602</c:v>
                </c:pt>
                <c:pt idx="34">
                  <c:v>0.27371018921142298</c:v>
                </c:pt>
                <c:pt idx="35">
                  <c:v>0.27190465680865811</c:v>
                </c:pt>
                <c:pt idx="36">
                  <c:v>0.21100917431193406</c:v>
                </c:pt>
                <c:pt idx="37">
                  <c:v>0.147868872399951</c:v>
                </c:pt>
                <c:pt idx="38">
                  <c:v>0.12315571776156503</c:v>
                </c:pt>
                <c:pt idx="39">
                  <c:v>0.19257324391104794</c:v>
                </c:pt>
                <c:pt idx="40">
                  <c:v>0.22760627481359497</c:v>
                </c:pt>
                <c:pt idx="41">
                  <c:v>0.21996554293164505</c:v>
                </c:pt>
                <c:pt idx="42">
                  <c:v>0.33423649229551311</c:v>
                </c:pt>
                <c:pt idx="43">
                  <c:v>0.29918302138177411</c:v>
                </c:pt>
                <c:pt idx="44">
                  <c:v>0.37621058209693498</c:v>
                </c:pt>
                <c:pt idx="45">
                  <c:v>0.32115286814732913</c:v>
                </c:pt>
                <c:pt idx="46">
                  <c:v>0.31265093804451011</c:v>
                </c:pt>
                <c:pt idx="47">
                  <c:v>0.3140405487708931</c:v>
                </c:pt>
                <c:pt idx="48">
                  <c:v>0.3448224745160261</c:v>
                </c:pt>
                <c:pt idx="49">
                  <c:v>0.35306500561137399</c:v>
                </c:pt>
                <c:pt idx="50">
                  <c:v>0.309034540598639</c:v>
                </c:pt>
                <c:pt idx="51">
                  <c:v>0.33849434179332311</c:v>
                </c:pt>
                <c:pt idx="52">
                  <c:v>0.283679644041264</c:v>
                </c:pt>
                <c:pt idx="53">
                  <c:v>0.2641127714015461</c:v>
                </c:pt>
                <c:pt idx="54">
                  <c:v>0.24472245712665405</c:v>
                </c:pt>
                <c:pt idx="55">
                  <c:v>0.25431911773957511</c:v>
                </c:pt>
                <c:pt idx="56">
                  <c:v>0.22609434722056199</c:v>
                </c:pt>
                <c:pt idx="57">
                  <c:v>0.24378587329568793</c:v>
                </c:pt>
                <c:pt idx="58">
                  <c:v>0.25882172306973011</c:v>
                </c:pt>
                <c:pt idx="59">
                  <c:v>0.22952739881060499</c:v>
                </c:pt>
                <c:pt idx="60">
                  <c:v>0.21851661444554901</c:v>
                </c:pt>
                <c:pt idx="61">
                  <c:v>0.32451673201393311</c:v>
                </c:pt>
                <c:pt idx="62">
                  <c:v>0.26133960624887298</c:v>
                </c:pt>
                <c:pt idx="63">
                  <c:v>0.21567113092626206</c:v>
                </c:pt>
                <c:pt idx="64">
                  <c:v>0.23701861917427999</c:v>
                </c:pt>
                <c:pt idx="65">
                  <c:v>0.21716119215374899</c:v>
                </c:pt>
                <c:pt idx="66">
                  <c:v>0.21596604958901311</c:v>
                </c:pt>
                <c:pt idx="67">
                  <c:v>0.22494032682540807</c:v>
                </c:pt>
                <c:pt idx="68">
                  <c:v>0.22644572408724906</c:v>
                </c:pt>
                <c:pt idx="69">
                  <c:v>0.23255871939360695</c:v>
                </c:pt>
                <c:pt idx="70">
                  <c:v>0.32175248837358911</c:v>
                </c:pt>
                <c:pt idx="71">
                  <c:v>0.16473892689953201</c:v>
                </c:pt>
                <c:pt idx="72">
                  <c:v>0.20196475399812505</c:v>
                </c:pt>
                <c:pt idx="73">
                  <c:v>0.28748188434031813</c:v>
                </c:pt>
                <c:pt idx="74">
                  <c:v>0.3396540656824783</c:v>
                </c:pt>
                <c:pt idx="75">
                  <c:v>0.18666641513707308</c:v>
                </c:pt>
                <c:pt idx="76">
                  <c:v>0.19509807289340805</c:v>
                </c:pt>
                <c:pt idx="77">
                  <c:v>0.2650807935633791</c:v>
                </c:pt>
                <c:pt idx="78">
                  <c:v>0.24223704906387905</c:v>
                </c:pt>
                <c:pt idx="79">
                  <c:v>0.44116198916791011</c:v>
                </c:pt>
                <c:pt idx="80">
                  <c:v>0.3970603273727063</c:v>
                </c:pt>
                <c:pt idx="81">
                  <c:v>0.3133718805751991</c:v>
                </c:pt>
                <c:pt idx="82">
                  <c:v>0.39077398919943823</c:v>
                </c:pt>
              </c:numCache>
            </c:numRef>
          </c:val>
        </c:ser>
        <c:marker val="1"/>
        <c:axId val="70043136"/>
        <c:axId val="70044672"/>
      </c:lineChart>
      <c:catAx>
        <c:axId val="70043136"/>
        <c:scaling>
          <c:orientation val="minMax"/>
        </c:scaling>
        <c:axPos val="b"/>
        <c:numFmt formatCode="General" sourceLinked="1"/>
        <c:tickLblPos val="nextTo"/>
        <c:txPr>
          <a:bodyPr/>
          <a:lstStyle/>
          <a:p>
            <a:pPr>
              <a:defRPr lang="en-IN" baseline="0">
                <a:latin typeface="Times New Roman" pitchFamily="18" charset="0"/>
              </a:defRPr>
            </a:pPr>
            <a:endParaRPr lang="en-US"/>
          </a:p>
        </c:txPr>
        <c:crossAx val="70044672"/>
        <c:crosses val="autoZero"/>
        <c:auto val="1"/>
        <c:lblAlgn val="ctr"/>
        <c:lblOffset val="100"/>
      </c:catAx>
      <c:valAx>
        <c:axId val="70044672"/>
        <c:scaling>
          <c:orientation val="minMax"/>
        </c:scaling>
        <c:axPos val="l"/>
        <c:majorGridlines/>
        <c:numFmt formatCode="0.000" sourceLinked="0"/>
        <c:tickLblPos val="nextTo"/>
        <c:txPr>
          <a:bodyPr/>
          <a:lstStyle/>
          <a:p>
            <a:pPr>
              <a:defRPr lang="en-IN" baseline="0">
                <a:latin typeface="Times New Roman" pitchFamily="18" charset="0"/>
              </a:defRPr>
            </a:pPr>
            <a:endParaRPr lang="en-US"/>
          </a:p>
        </c:txPr>
        <c:crossAx val="70043136"/>
        <c:crosses val="autoZero"/>
        <c:crossBetween val="between"/>
      </c:valAx>
    </c:plotArea>
    <c:plotVisOnly val="1"/>
    <c:dispBlanksAs val="gap"/>
  </c:chart>
  <c:spPr>
    <a:ln>
      <a:noFill/>
    </a:ln>
  </c:sp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diagram Eastman Kodak ARs 1902-2008 June 4 2010.xlsx]HD diagram Eastman Kodak'!$B$46</c:f>
              <c:strCache>
                <c:ptCount val="1"/>
                <c:pt idx="0">
                  <c:v>TotDebttoTA</c:v>
                </c:pt>
              </c:strCache>
            </c:strRef>
          </c:tx>
          <c:spPr>
            <a:ln>
              <a:solidFill>
                <a:schemeClr val="tx1"/>
              </a:solidFill>
            </a:ln>
          </c:spPr>
          <c:marker>
            <c:symbol val="none"/>
          </c:marker>
          <c:cat>
            <c:numRef>
              <c:f>'[HD diagram Eastman Kodak ARs 1902-2008 June 4 2010.xlsx]HD diagram Eastman Kodak'!$C$45:$DE$45</c:f>
              <c:numCache>
                <c:formatCode>General</c:formatCode>
                <c:ptCount val="107"/>
                <c:pt idx="0">
                  <c:v>1902</c:v>
                </c:pt>
                <c:pt idx="1">
                  <c:v>1903</c:v>
                </c:pt>
                <c:pt idx="2">
                  <c:v>1904</c:v>
                </c:pt>
                <c:pt idx="3">
                  <c:v>1905</c:v>
                </c:pt>
                <c:pt idx="4">
                  <c:v>1906</c:v>
                </c:pt>
                <c:pt idx="5">
                  <c:v>1907</c:v>
                </c:pt>
                <c:pt idx="6">
                  <c:v>1908</c:v>
                </c:pt>
                <c:pt idx="7">
                  <c:v>1909</c:v>
                </c:pt>
                <c:pt idx="8">
                  <c:v>1910</c:v>
                </c:pt>
                <c:pt idx="9">
                  <c:v>1911</c:v>
                </c:pt>
                <c:pt idx="10">
                  <c:v>1912</c:v>
                </c:pt>
                <c:pt idx="11">
                  <c:v>1913</c:v>
                </c:pt>
                <c:pt idx="12">
                  <c:v>1914</c:v>
                </c:pt>
                <c:pt idx="13">
                  <c:v>1915</c:v>
                </c:pt>
                <c:pt idx="14">
                  <c:v>1916</c:v>
                </c:pt>
                <c:pt idx="15">
                  <c:v>1917</c:v>
                </c:pt>
                <c:pt idx="16">
                  <c:v>1918</c:v>
                </c:pt>
                <c:pt idx="17">
                  <c:v>1919</c:v>
                </c:pt>
                <c:pt idx="18">
                  <c:v>1920</c:v>
                </c:pt>
                <c:pt idx="19">
                  <c:v>1921</c:v>
                </c:pt>
                <c:pt idx="20">
                  <c:v>1922</c:v>
                </c:pt>
                <c:pt idx="21">
                  <c:v>1923</c:v>
                </c:pt>
                <c:pt idx="22">
                  <c:v>1924</c:v>
                </c:pt>
                <c:pt idx="23">
                  <c:v>1925</c:v>
                </c:pt>
                <c:pt idx="24">
                  <c:v>1926</c:v>
                </c:pt>
                <c:pt idx="25">
                  <c:v>1927</c:v>
                </c:pt>
                <c:pt idx="26">
                  <c:v>1928</c:v>
                </c:pt>
                <c:pt idx="27">
                  <c:v>1929</c:v>
                </c:pt>
                <c:pt idx="28">
                  <c:v>1930</c:v>
                </c:pt>
                <c:pt idx="29">
                  <c:v>1931</c:v>
                </c:pt>
                <c:pt idx="30">
                  <c:v>1932</c:v>
                </c:pt>
                <c:pt idx="31">
                  <c:v>1933</c:v>
                </c:pt>
                <c:pt idx="32">
                  <c:v>1934</c:v>
                </c:pt>
                <c:pt idx="33">
                  <c:v>1935</c:v>
                </c:pt>
                <c:pt idx="34">
                  <c:v>1936</c:v>
                </c:pt>
                <c:pt idx="35">
                  <c:v>1937</c:v>
                </c:pt>
                <c:pt idx="36">
                  <c:v>1938</c:v>
                </c:pt>
                <c:pt idx="37">
                  <c:v>1939</c:v>
                </c:pt>
                <c:pt idx="38">
                  <c:v>1940</c:v>
                </c:pt>
                <c:pt idx="39">
                  <c:v>1941</c:v>
                </c:pt>
                <c:pt idx="40">
                  <c:v>1942</c:v>
                </c:pt>
                <c:pt idx="41">
                  <c:v>1943</c:v>
                </c:pt>
                <c:pt idx="42">
                  <c:v>1944</c:v>
                </c:pt>
                <c:pt idx="43">
                  <c:v>1945</c:v>
                </c:pt>
                <c:pt idx="44">
                  <c:v>1946</c:v>
                </c:pt>
                <c:pt idx="45">
                  <c:v>1947</c:v>
                </c:pt>
                <c:pt idx="46">
                  <c:v>1948</c:v>
                </c:pt>
                <c:pt idx="47">
                  <c:v>1949</c:v>
                </c:pt>
                <c:pt idx="48">
                  <c:v>1950</c:v>
                </c:pt>
                <c:pt idx="49">
                  <c:v>1951</c:v>
                </c:pt>
                <c:pt idx="50">
                  <c:v>1952</c:v>
                </c:pt>
                <c:pt idx="51">
                  <c:v>1953</c:v>
                </c:pt>
                <c:pt idx="52">
                  <c:v>1954</c:v>
                </c:pt>
                <c:pt idx="53">
                  <c:v>1955</c:v>
                </c:pt>
                <c:pt idx="54">
                  <c:v>1956</c:v>
                </c:pt>
                <c:pt idx="55">
                  <c:v>1957</c:v>
                </c:pt>
                <c:pt idx="56">
                  <c:v>1958</c:v>
                </c:pt>
                <c:pt idx="57">
                  <c:v>1959</c:v>
                </c:pt>
                <c:pt idx="58">
                  <c:v>1960</c:v>
                </c:pt>
                <c:pt idx="59">
                  <c:v>1961</c:v>
                </c:pt>
                <c:pt idx="60">
                  <c:v>1962</c:v>
                </c:pt>
                <c:pt idx="61">
                  <c:v>1963</c:v>
                </c:pt>
                <c:pt idx="62">
                  <c:v>1964</c:v>
                </c:pt>
                <c:pt idx="63">
                  <c:v>1965</c:v>
                </c:pt>
                <c:pt idx="64">
                  <c:v>1966</c:v>
                </c:pt>
                <c:pt idx="65">
                  <c:v>1967</c:v>
                </c:pt>
                <c:pt idx="66">
                  <c:v>1968</c:v>
                </c:pt>
                <c:pt idx="67">
                  <c:v>1969</c:v>
                </c:pt>
                <c:pt idx="68">
                  <c:v>1970</c:v>
                </c:pt>
                <c:pt idx="69">
                  <c:v>1971</c:v>
                </c:pt>
                <c:pt idx="70">
                  <c:v>1972</c:v>
                </c:pt>
                <c:pt idx="71">
                  <c:v>1973</c:v>
                </c:pt>
                <c:pt idx="72">
                  <c:v>1974</c:v>
                </c:pt>
                <c:pt idx="73">
                  <c:v>1975</c:v>
                </c:pt>
                <c:pt idx="74">
                  <c:v>1976</c:v>
                </c:pt>
                <c:pt idx="75">
                  <c:v>1977</c:v>
                </c:pt>
                <c:pt idx="76">
                  <c:v>1978</c:v>
                </c:pt>
                <c:pt idx="77">
                  <c:v>1979</c:v>
                </c:pt>
                <c:pt idx="78">
                  <c:v>1980</c:v>
                </c:pt>
                <c:pt idx="79">
                  <c:v>1981</c:v>
                </c:pt>
                <c:pt idx="80">
                  <c:v>1982</c:v>
                </c:pt>
                <c:pt idx="81">
                  <c:v>1983</c:v>
                </c:pt>
                <c:pt idx="82">
                  <c:v>1984</c:v>
                </c:pt>
                <c:pt idx="83">
                  <c:v>1985</c:v>
                </c:pt>
                <c:pt idx="84">
                  <c:v>1986</c:v>
                </c:pt>
                <c:pt idx="85">
                  <c:v>1987</c:v>
                </c:pt>
                <c:pt idx="86">
                  <c:v>1988</c:v>
                </c:pt>
                <c:pt idx="87">
                  <c:v>1989</c:v>
                </c:pt>
                <c:pt idx="88">
                  <c:v>1990</c:v>
                </c:pt>
                <c:pt idx="89">
                  <c:v>1991</c:v>
                </c:pt>
                <c:pt idx="90">
                  <c:v>1992</c:v>
                </c:pt>
                <c:pt idx="91">
                  <c:v>1993</c:v>
                </c:pt>
                <c:pt idx="92">
                  <c:v>1994</c:v>
                </c:pt>
                <c:pt idx="93">
                  <c:v>1995</c:v>
                </c:pt>
                <c:pt idx="94">
                  <c:v>1996</c:v>
                </c:pt>
                <c:pt idx="95">
                  <c:v>1997</c:v>
                </c:pt>
                <c:pt idx="96">
                  <c:v>1998</c:v>
                </c:pt>
                <c:pt idx="97">
                  <c:v>1999</c:v>
                </c:pt>
                <c:pt idx="98">
                  <c:v>2000</c:v>
                </c:pt>
                <c:pt idx="99">
                  <c:v>2001</c:v>
                </c:pt>
                <c:pt idx="100">
                  <c:v>2002</c:v>
                </c:pt>
                <c:pt idx="101">
                  <c:v>2003</c:v>
                </c:pt>
                <c:pt idx="102">
                  <c:v>2004</c:v>
                </c:pt>
                <c:pt idx="103">
                  <c:v>2005</c:v>
                </c:pt>
                <c:pt idx="104">
                  <c:v>2006</c:v>
                </c:pt>
                <c:pt idx="105">
                  <c:v>2007</c:v>
                </c:pt>
                <c:pt idx="106">
                  <c:v>2008</c:v>
                </c:pt>
              </c:numCache>
            </c:numRef>
          </c:cat>
          <c:val>
            <c:numRef>
              <c:f>'[HD diagram Eastman Kodak ARs 1902-2008 June 4 2010.xlsx]HD diagram Eastman Kodak'!$C$46:$DE$46</c:f>
              <c:numCache>
                <c:formatCode>0.000</c:formatCode>
                <c:ptCount val="10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1.72447176665513E-2</c:v>
                </c:pt>
                <c:pt idx="19">
                  <c:v>0</c:v>
                </c:pt>
                <c:pt idx="20">
                  <c:v>0</c:v>
                </c:pt>
                <c:pt idx="21">
                  <c:v>0</c:v>
                </c:pt>
                <c:pt idx="22">
                  <c:v>0</c:v>
                </c:pt>
                <c:pt idx="23">
                  <c:v>0</c:v>
                </c:pt>
                <c:pt idx="24">
                  <c:v>0</c:v>
                </c:pt>
                <c:pt idx="25">
                  <c:v>0</c:v>
                </c:pt>
                <c:pt idx="26">
                  <c:v>2.6428720724279011E-2</c:v>
                </c:pt>
                <c:pt idx="27">
                  <c:v>0</c:v>
                </c:pt>
                <c:pt idx="28">
                  <c:v>0</c:v>
                </c:pt>
                <c:pt idx="29">
                  <c:v>2.6285465688898009E-2</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8.1945190757657729E-3</c:v>
                </c:pt>
                <c:pt idx="66">
                  <c:v>3.83985654140028E-2</c:v>
                </c:pt>
                <c:pt idx="67">
                  <c:v>3.5238375897681605E-2</c:v>
                </c:pt>
                <c:pt idx="68">
                  <c:v>3.3320702394149103E-2</c:v>
                </c:pt>
                <c:pt idx="69">
                  <c:v>3.0560952713618299E-2</c:v>
                </c:pt>
                <c:pt idx="70">
                  <c:v>2.8469543472787701E-2</c:v>
                </c:pt>
                <c:pt idx="71">
                  <c:v>2.8170572453591006E-2</c:v>
                </c:pt>
                <c:pt idx="72">
                  <c:v>2.6375137589790619E-2</c:v>
                </c:pt>
                <c:pt idx="73">
                  <c:v>2.5024158296471199E-2</c:v>
                </c:pt>
                <c:pt idx="74">
                  <c:v>3.1473383421322616E-2</c:v>
                </c:pt>
                <c:pt idx="75">
                  <c:v>2.5616054396281184E-2</c:v>
                </c:pt>
                <c:pt idx="76">
                  <c:v>2.7652147906880611E-2</c:v>
                </c:pt>
                <c:pt idx="77">
                  <c:v>2.6436152433277713E-2</c:v>
                </c:pt>
                <c:pt idx="78">
                  <c:v>2.6543469370503499E-2</c:v>
                </c:pt>
                <c:pt idx="79">
                  <c:v>3.1124285411814608E-2</c:v>
                </c:pt>
                <c:pt idx="80">
                  <c:v>5.7051402749011514E-2</c:v>
                </c:pt>
                <c:pt idx="81">
                  <c:v>5.4630307467057083E-2</c:v>
                </c:pt>
                <c:pt idx="82">
                  <c:v>6.8008907032844734E-2</c:v>
                </c:pt>
                <c:pt idx="83">
                  <c:v>0.14108054686213906</c:v>
                </c:pt>
                <c:pt idx="84">
                  <c:v>0.16067271409929795</c:v>
                </c:pt>
                <c:pt idx="85">
                  <c:v>0.223583143035084</c:v>
                </c:pt>
                <c:pt idx="86">
                  <c:v>0.42858387040592211</c:v>
                </c:pt>
                <c:pt idx="87">
                  <c:v>0.43285980043972411</c:v>
                </c:pt>
                <c:pt idx="88">
                  <c:v>0.41425906735751811</c:v>
                </c:pt>
                <c:pt idx="89">
                  <c:v>0.42230037236265433</c:v>
                </c:pt>
                <c:pt idx="90">
                  <c:v>0.38629094995252711</c:v>
                </c:pt>
                <c:pt idx="91">
                  <c:v>0.36939729397309012</c:v>
                </c:pt>
                <c:pt idx="92">
                  <c:v>6.8880277926250094E-2</c:v>
                </c:pt>
                <c:pt idx="93">
                  <c:v>8.6412930855840203E-2</c:v>
                </c:pt>
                <c:pt idx="94">
                  <c:v>7.6187837650644102E-2</c:v>
                </c:pt>
                <c:pt idx="95">
                  <c:v>9.0985165462153031E-2</c:v>
                </c:pt>
                <c:pt idx="96">
                  <c:v>0.13724292404805497</c:v>
                </c:pt>
                <c:pt idx="97">
                  <c:v>0.14606819763396006</c:v>
                </c:pt>
                <c:pt idx="98">
                  <c:v>0.23726428370391706</c:v>
                </c:pt>
                <c:pt idx="99">
                  <c:v>0.23948510701990705</c:v>
                </c:pt>
                <c:pt idx="100">
                  <c:v>0.19492856608572101</c:v>
                </c:pt>
                <c:pt idx="101">
                  <c:v>0.21919287353225506</c:v>
                </c:pt>
                <c:pt idx="102">
                  <c:v>0.15749474112788411</c:v>
                </c:pt>
                <c:pt idx="103">
                  <c:v>0.24013135848803699</c:v>
                </c:pt>
                <c:pt idx="104">
                  <c:v>0.19399441340786011</c:v>
                </c:pt>
                <c:pt idx="105">
                  <c:v>0.116919247382678</c:v>
                </c:pt>
                <c:pt idx="106">
                  <c:v>0.14195446127031006</c:v>
                </c:pt>
              </c:numCache>
            </c:numRef>
          </c:val>
        </c:ser>
        <c:marker val="1"/>
        <c:axId val="69863680"/>
        <c:axId val="69877760"/>
      </c:lineChart>
      <c:catAx>
        <c:axId val="69863680"/>
        <c:scaling>
          <c:orientation val="minMax"/>
        </c:scaling>
        <c:axPos val="b"/>
        <c:numFmt formatCode="General" sourceLinked="1"/>
        <c:tickLblPos val="nextTo"/>
        <c:txPr>
          <a:bodyPr/>
          <a:lstStyle/>
          <a:p>
            <a:pPr>
              <a:defRPr lang="en-IN">
                <a:latin typeface="Times New Roman" pitchFamily="18" charset="0"/>
                <a:cs typeface="Times New Roman" pitchFamily="18" charset="0"/>
              </a:defRPr>
            </a:pPr>
            <a:endParaRPr lang="en-US"/>
          </a:p>
        </c:txPr>
        <c:crossAx val="69877760"/>
        <c:crosses val="autoZero"/>
        <c:auto val="1"/>
        <c:lblAlgn val="ctr"/>
        <c:lblOffset val="100"/>
      </c:catAx>
      <c:valAx>
        <c:axId val="69877760"/>
        <c:scaling>
          <c:orientation val="minMax"/>
        </c:scaling>
        <c:axPos val="l"/>
        <c:majorGridlines/>
        <c:numFmt formatCode="0.000" sourceLinked="1"/>
        <c:tickLblPos val="nextTo"/>
        <c:txPr>
          <a:bodyPr/>
          <a:lstStyle/>
          <a:p>
            <a:pPr>
              <a:defRPr lang="en-IN">
                <a:latin typeface="Times New Roman" pitchFamily="18" charset="0"/>
                <a:cs typeface="Times New Roman" pitchFamily="18" charset="0"/>
              </a:defRPr>
            </a:pPr>
            <a:endParaRPr lang="en-US"/>
          </a:p>
        </c:txPr>
        <c:crossAx val="69863680"/>
        <c:crosses val="autoZero"/>
        <c:crossBetween val="between"/>
        <c:majorUnit val="0.05"/>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DuPont diagram'!$B$50</c:f>
              <c:strCache>
                <c:ptCount val="1"/>
                <c:pt idx="0">
                  <c:v>TotDebttoTA</c:v>
                </c:pt>
              </c:strCache>
            </c:strRef>
          </c:tx>
          <c:spPr>
            <a:ln>
              <a:solidFill>
                <a:schemeClr val="tx1"/>
              </a:solidFill>
            </a:ln>
          </c:spPr>
          <c:marker>
            <c:symbol val="none"/>
          </c:marker>
          <c:cat>
            <c:numRef>
              <c:f>'HD DuPont diagram'!$C$49:$CL$49</c:f>
              <c:numCache>
                <c:formatCode>General</c:formatCode>
                <c:ptCount val="88"/>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numCache>
            </c:numRef>
          </c:cat>
          <c:val>
            <c:numRef>
              <c:f>'HD DuPont diagram'!$C$50:$CL$50</c:f>
              <c:numCache>
                <c:formatCode>General</c:formatCode>
                <c:ptCount val="88"/>
                <c:pt idx="0">
                  <c:v>0.16260957712590093</c:v>
                </c:pt>
                <c:pt idx="1">
                  <c:v>0.13603176215133506</c:v>
                </c:pt>
                <c:pt idx="2">
                  <c:v>0.117940960143956</c:v>
                </c:pt>
                <c:pt idx="3">
                  <c:v>8.1618329099128098E-2</c:v>
                </c:pt>
                <c:pt idx="4">
                  <c:v>8.5577310943288545E-3</c:v>
                </c:pt>
                <c:pt idx="5">
                  <c:v>5.78848167234785E-3</c:v>
                </c:pt>
                <c:pt idx="6">
                  <c:v>5.1821606859449917E-3</c:v>
                </c:pt>
                <c:pt idx="7">
                  <c:v>1.1031133837318801E-2</c:v>
                </c:pt>
                <c:pt idx="8">
                  <c:v>9.001096297909187E-3</c:v>
                </c:pt>
                <c:pt idx="9">
                  <c:v>2.56255839980303E-3</c:v>
                </c:pt>
                <c:pt idx="10">
                  <c:v>2.588139299617832E-3</c:v>
                </c:pt>
                <c:pt idx="11">
                  <c:v>2.5996447188721518E-3</c:v>
                </c:pt>
                <c:pt idx="12">
                  <c:v>2.096681396816371E-3</c:v>
                </c:pt>
                <c:pt idx="13">
                  <c:v>2.04864260723072E-3</c:v>
                </c:pt>
                <c:pt idx="14">
                  <c:v>1.9591486388204609E-3</c:v>
                </c:pt>
                <c:pt idx="15">
                  <c:v>1.8231298089550101E-3</c:v>
                </c:pt>
                <c:pt idx="16">
                  <c:v>1.5216583430128401E-3</c:v>
                </c:pt>
                <c:pt idx="17">
                  <c:v>1.50565951365414E-3</c:v>
                </c:pt>
                <c:pt idx="18">
                  <c:v>1.4435636887615299E-3</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1.2947860704209004E-2</c:v>
                </c:pt>
                <c:pt idx="45">
                  <c:v>1.9164456233421806E-2</c:v>
                </c:pt>
                <c:pt idx="46">
                  <c:v>4.0962521572075222E-2</c:v>
                </c:pt>
                <c:pt idx="47">
                  <c:v>4.9363086370960513E-2</c:v>
                </c:pt>
                <c:pt idx="48">
                  <c:v>5.3724513438368898E-2</c:v>
                </c:pt>
                <c:pt idx="49">
                  <c:v>6.0561879661302082E-2</c:v>
                </c:pt>
                <c:pt idx="50">
                  <c:v>7.6803801425534599E-2</c:v>
                </c:pt>
                <c:pt idx="51">
                  <c:v>7.7899964493303914E-2</c:v>
                </c:pt>
                <c:pt idx="52">
                  <c:v>7.3982880258037134E-2</c:v>
                </c:pt>
                <c:pt idx="53">
                  <c:v>0.18624493064475706</c:v>
                </c:pt>
                <c:pt idx="54">
                  <c:v>0.22238132295719801</c:v>
                </c:pt>
                <c:pt idx="55">
                  <c:v>0.21930866894679801</c:v>
                </c:pt>
                <c:pt idx="56">
                  <c:v>0.20526016173725906</c:v>
                </c:pt>
                <c:pt idx="57">
                  <c:v>0.16881700590946305</c:v>
                </c:pt>
                <c:pt idx="58">
                  <c:v>0.14979570871983006</c:v>
                </c:pt>
                <c:pt idx="59">
                  <c:v>0.15700836820083705</c:v>
                </c:pt>
                <c:pt idx="60">
                  <c:v>0.29476688069159401</c:v>
                </c:pt>
                <c:pt idx="61">
                  <c:v>0.25415930657682889</c:v>
                </c:pt>
                <c:pt idx="62">
                  <c:v>0.20968402095612301</c:v>
                </c:pt>
                <c:pt idx="63">
                  <c:v>0.171259025645282</c:v>
                </c:pt>
                <c:pt idx="64">
                  <c:v>0.15938743038989212</c:v>
                </c:pt>
                <c:pt idx="65">
                  <c:v>0.18482774099427701</c:v>
                </c:pt>
                <c:pt idx="66">
                  <c:v>0.16813782835265295</c:v>
                </c:pt>
                <c:pt idx="67">
                  <c:v>0.17275952993261495</c:v>
                </c:pt>
                <c:pt idx="68">
                  <c:v>0.230102261270344</c:v>
                </c:pt>
                <c:pt idx="69">
                  <c:v>0.2515474192194711</c:v>
                </c:pt>
                <c:pt idx="70">
                  <c:v>0.229725613976798</c:v>
                </c:pt>
                <c:pt idx="71">
                  <c:v>0.28278878312333611</c:v>
                </c:pt>
                <c:pt idx="72">
                  <c:v>0.25172050846085298</c:v>
                </c:pt>
                <c:pt idx="73">
                  <c:v>0.20784994036650906</c:v>
                </c:pt>
                <c:pt idx="74">
                  <c:v>0.31719018010291811</c:v>
                </c:pt>
                <c:pt idx="75">
                  <c:v>0.23684418353656111</c:v>
                </c:pt>
                <c:pt idx="76">
                  <c:v>0.2813795351869971</c:v>
                </c:pt>
                <c:pt idx="77">
                  <c:v>0.28866514428067308</c:v>
                </c:pt>
                <c:pt idx="78">
                  <c:v>0.28364028741692593</c:v>
                </c:pt>
                <c:pt idx="79">
                  <c:v>0.25123015269096188</c:v>
                </c:pt>
                <c:pt idx="80">
                  <c:v>0.16900220739601701</c:v>
                </c:pt>
                <c:pt idx="81">
                  <c:v>0.19733687646226306</c:v>
                </c:pt>
                <c:pt idx="82">
                  <c:v>0.27579038310970411</c:v>
                </c:pt>
                <c:pt idx="83">
                  <c:v>0.18197126178715806</c:v>
                </c:pt>
                <c:pt idx="84">
                  <c:v>0.24601503759408411</c:v>
                </c:pt>
                <c:pt idx="85">
                  <c:v>0.23696384177245611</c:v>
                </c:pt>
                <c:pt idx="86">
                  <c:v>0.21461428027307106</c:v>
                </c:pt>
                <c:pt idx="87">
                  <c:v>0.266508326659118</c:v>
                </c:pt>
              </c:numCache>
            </c:numRef>
          </c:val>
        </c:ser>
        <c:marker val="1"/>
        <c:axId val="69898624"/>
        <c:axId val="69900160"/>
      </c:lineChart>
      <c:catAx>
        <c:axId val="69898624"/>
        <c:scaling>
          <c:orientation val="minMax"/>
        </c:scaling>
        <c:axPos val="b"/>
        <c:numFmt formatCode="General" sourceLinked="1"/>
        <c:tickLblPos val="nextTo"/>
        <c:txPr>
          <a:bodyPr/>
          <a:lstStyle/>
          <a:p>
            <a:pPr>
              <a:defRPr lang="en-IN"/>
            </a:pPr>
            <a:endParaRPr lang="en-US"/>
          </a:p>
        </c:txPr>
        <c:crossAx val="69900160"/>
        <c:crosses val="autoZero"/>
        <c:auto val="1"/>
        <c:lblAlgn val="ctr"/>
        <c:lblOffset val="100"/>
      </c:catAx>
      <c:valAx>
        <c:axId val="69900160"/>
        <c:scaling>
          <c:orientation val="minMax"/>
        </c:scaling>
        <c:axPos val="l"/>
        <c:majorGridlines/>
        <c:numFmt formatCode="#,##0.000" sourceLinked="0"/>
        <c:tickLblPos val="nextTo"/>
        <c:txPr>
          <a:bodyPr/>
          <a:lstStyle/>
          <a:p>
            <a:pPr>
              <a:defRPr lang="en-IN"/>
            </a:pPr>
            <a:endParaRPr lang="en-US"/>
          </a:p>
        </c:txPr>
        <c:crossAx val="69898624"/>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long diagram'!$B$46</c:f>
              <c:strCache>
                <c:ptCount val="1"/>
                <c:pt idx="0">
                  <c:v>TotDebttoTA </c:v>
                </c:pt>
              </c:strCache>
            </c:strRef>
          </c:tx>
          <c:spPr>
            <a:ln>
              <a:solidFill>
                <a:schemeClr val="tx1"/>
              </a:solidFill>
            </a:ln>
          </c:spPr>
          <c:marker>
            <c:symbol val="none"/>
          </c:marker>
          <c:cat>
            <c:numRef>
              <c:f>'HD long diagram'!$C$45:$CV$45</c:f>
              <c:numCache>
                <c:formatCode>General</c:formatCode>
                <c:ptCount val="98"/>
                <c:pt idx="0">
                  <c:v>1911</c:v>
                </c:pt>
                <c:pt idx="1">
                  <c:v>1912</c:v>
                </c:pt>
                <c:pt idx="2">
                  <c:v>1913</c:v>
                </c:pt>
                <c:pt idx="3">
                  <c:v>1914</c:v>
                </c:pt>
                <c:pt idx="4">
                  <c:v>1915</c:v>
                </c:pt>
                <c:pt idx="5">
                  <c:v>1916</c:v>
                </c:pt>
                <c:pt idx="6">
                  <c:v>1917</c:v>
                </c:pt>
                <c:pt idx="7">
                  <c:v>1918</c:v>
                </c:pt>
                <c:pt idx="8">
                  <c:v>1919</c:v>
                </c:pt>
                <c:pt idx="9">
                  <c:v>1920</c:v>
                </c:pt>
                <c:pt idx="10">
                  <c:v>1921</c:v>
                </c:pt>
                <c:pt idx="11">
                  <c:v>1922</c:v>
                </c:pt>
                <c:pt idx="12">
                  <c:v>1923</c:v>
                </c:pt>
                <c:pt idx="13">
                  <c:v>1924</c:v>
                </c:pt>
                <c:pt idx="14">
                  <c:v>1925</c:v>
                </c:pt>
                <c:pt idx="15">
                  <c:v>1926</c:v>
                </c:pt>
                <c:pt idx="16">
                  <c:v>1927</c:v>
                </c:pt>
                <c:pt idx="17">
                  <c:v>1928</c:v>
                </c:pt>
                <c:pt idx="18">
                  <c:v>1929</c:v>
                </c:pt>
                <c:pt idx="19">
                  <c:v>1930</c:v>
                </c:pt>
                <c:pt idx="20">
                  <c:v>1931</c:v>
                </c:pt>
                <c:pt idx="21">
                  <c:v>1932</c:v>
                </c:pt>
                <c:pt idx="22">
                  <c:v>1933</c:v>
                </c:pt>
                <c:pt idx="23">
                  <c:v>1934</c:v>
                </c:pt>
                <c:pt idx="24">
                  <c:v>1935</c:v>
                </c:pt>
                <c:pt idx="25">
                  <c:v>1936</c:v>
                </c:pt>
                <c:pt idx="26">
                  <c:v>1937</c:v>
                </c:pt>
                <c:pt idx="27">
                  <c:v>1938</c:v>
                </c:pt>
                <c:pt idx="28">
                  <c:v>1939</c:v>
                </c:pt>
                <c:pt idx="29">
                  <c:v>1940</c:v>
                </c:pt>
                <c:pt idx="30">
                  <c:v>1941</c:v>
                </c:pt>
                <c:pt idx="31">
                  <c:v>1942</c:v>
                </c:pt>
                <c:pt idx="32">
                  <c:v>1943</c:v>
                </c:pt>
                <c:pt idx="33">
                  <c:v>1944</c:v>
                </c:pt>
                <c:pt idx="34">
                  <c:v>1945</c:v>
                </c:pt>
                <c:pt idx="35">
                  <c:v>1946</c:v>
                </c:pt>
                <c:pt idx="36">
                  <c:v>1947</c:v>
                </c:pt>
                <c:pt idx="37">
                  <c:v>1948</c:v>
                </c:pt>
                <c:pt idx="38">
                  <c:v>1949</c:v>
                </c:pt>
                <c:pt idx="39">
                  <c:v>1950</c:v>
                </c:pt>
                <c:pt idx="40">
                  <c:v>1951</c:v>
                </c:pt>
                <c:pt idx="41">
                  <c:v>1952</c:v>
                </c:pt>
                <c:pt idx="42">
                  <c:v>1953</c:v>
                </c:pt>
                <c:pt idx="43">
                  <c:v>1954</c:v>
                </c:pt>
                <c:pt idx="44">
                  <c:v>1955</c:v>
                </c:pt>
                <c:pt idx="45">
                  <c:v>1956</c:v>
                </c:pt>
                <c:pt idx="46">
                  <c:v>1957</c:v>
                </c:pt>
                <c:pt idx="47">
                  <c:v>1958</c:v>
                </c:pt>
                <c:pt idx="48">
                  <c:v>1959</c:v>
                </c:pt>
                <c:pt idx="49">
                  <c:v>1960</c:v>
                </c:pt>
                <c:pt idx="50">
                  <c:v>1961</c:v>
                </c:pt>
                <c:pt idx="51">
                  <c:v>1962</c:v>
                </c:pt>
                <c:pt idx="52">
                  <c:v>1963</c:v>
                </c:pt>
                <c:pt idx="53">
                  <c:v>1964</c:v>
                </c:pt>
                <c:pt idx="54">
                  <c:v>1965</c:v>
                </c:pt>
                <c:pt idx="55">
                  <c:v>1966</c:v>
                </c:pt>
                <c:pt idx="56">
                  <c:v>1967</c:v>
                </c:pt>
                <c:pt idx="57">
                  <c:v>1968</c:v>
                </c:pt>
                <c:pt idx="58">
                  <c:v>1969</c:v>
                </c:pt>
                <c:pt idx="59">
                  <c:v>1970</c:v>
                </c:pt>
                <c:pt idx="60">
                  <c:v>1971</c:v>
                </c:pt>
                <c:pt idx="61">
                  <c:v>1972</c:v>
                </c:pt>
                <c:pt idx="62">
                  <c:v>1973</c:v>
                </c:pt>
                <c:pt idx="63">
                  <c:v>1974</c:v>
                </c:pt>
                <c:pt idx="64">
                  <c:v>1975</c:v>
                </c:pt>
                <c:pt idx="65">
                  <c:v>1976</c:v>
                </c:pt>
                <c:pt idx="66">
                  <c:v>1977</c:v>
                </c:pt>
                <c:pt idx="67">
                  <c:v>1978</c:v>
                </c:pt>
                <c:pt idx="68">
                  <c:v>1979</c:v>
                </c:pt>
                <c:pt idx="69">
                  <c:v>1980</c:v>
                </c:pt>
                <c:pt idx="70">
                  <c:v>1981</c:v>
                </c:pt>
                <c:pt idx="71">
                  <c:v>1982</c:v>
                </c:pt>
                <c:pt idx="72">
                  <c:v>1983</c:v>
                </c:pt>
                <c:pt idx="73">
                  <c:v>1984</c:v>
                </c:pt>
                <c:pt idx="74">
                  <c:v>1985</c:v>
                </c:pt>
                <c:pt idx="75">
                  <c:v>1986</c:v>
                </c:pt>
                <c:pt idx="76">
                  <c:v>1987</c:v>
                </c:pt>
                <c:pt idx="77">
                  <c:v>1988</c:v>
                </c:pt>
                <c:pt idx="78">
                  <c:v>1989</c:v>
                </c:pt>
                <c:pt idx="79">
                  <c:v>1990</c:v>
                </c:pt>
                <c:pt idx="80">
                  <c:v>1991</c:v>
                </c:pt>
                <c:pt idx="81">
                  <c:v>1992</c:v>
                </c:pt>
                <c:pt idx="82">
                  <c:v>1993</c:v>
                </c:pt>
                <c:pt idx="83">
                  <c:v>1994</c:v>
                </c:pt>
                <c:pt idx="84">
                  <c:v>1995</c:v>
                </c:pt>
                <c:pt idx="85">
                  <c:v>1996</c:v>
                </c:pt>
                <c:pt idx="86">
                  <c:v>1997</c:v>
                </c:pt>
                <c:pt idx="87">
                  <c:v>1998</c:v>
                </c:pt>
                <c:pt idx="88">
                  <c:v>1999</c:v>
                </c:pt>
                <c:pt idx="89">
                  <c:v>2000</c:v>
                </c:pt>
                <c:pt idx="90">
                  <c:v>2001</c:v>
                </c:pt>
                <c:pt idx="91">
                  <c:v>2002</c:v>
                </c:pt>
                <c:pt idx="92">
                  <c:v>2003</c:v>
                </c:pt>
                <c:pt idx="93">
                  <c:v>2004</c:v>
                </c:pt>
                <c:pt idx="94">
                  <c:v>2005</c:v>
                </c:pt>
                <c:pt idx="95">
                  <c:v>2006</c:v>
                </c:pt>
                <c:pt idx="96">
                  <c:v>2007</c:v>
                </c:pt>
                <c:pt idx="97">
                  <c:v>2008</c:v>
                </c:pt>
              </c:numCache>
            </c:numRef>
          </c:cat>
          <c:val>
            <c:numRef>
              <c:f>'HD long diagram'!$C$46:$CV$46</c:f>
              <c:numCache>
                <c:formatCode>General</c:formatCode>
                <c:ptCount val="98"/>
                <c:pt idx="0">
                  <c:v>0</c:v>
                </c:pt>
                <c:pt idx="1">
                  <c:v>0</c:v>
                </c:pt>
                <c:pt idx="2">
                  <c:v>0</c:v>
                </c:pt>
                <c:pt idx="3">
                  <c:v>0</c:v>
                </c:pt>
                <c:pt idx="4">
                  <c:v>0</c:v>
                </c:pt>
                <c:pt idx="5">
                  <c:v>0</c:v>
                </c:pt>
                <c:pt idx="6">
                  <c:v>0</c:v>
                </c:pt>
                <c:pt idx="7">
                  <c:v>0</c:v>
                </c:pt>
                <c:pt idx="8">
                  <c:v>0</c:v>
                </c:pt>
                <c:pt idx="9">
                  <c:v>1.6133914728633601E-2</c:v>
                </c:pt>
                <c:pt idx="10">
                  <c:v>9.0339744814801184E-2</c:v>
                </c:pt>
                <c:pt idx="11">
                  <c:v>8.1710600555779028E-2</c:v>
                </c:pt>
                <c:pt idx="12">
                  <c:v>7.3102708024248925E-2</c:v>
                </c:pt>
                <c:pt idx="13">
                  <c:v>6.3774629584545814E-2</c:v>
                </c:pt>
                <c:pt idx="14">
                  <c:v>5.3515625105567899E-2</c:v>
                </c:pt>
                <c:pt idx="15" formatCode="_-* #,##0.00_-;\-* #,##0.00_-;_-* &quot;-&quot;??_-;_-@_-">
                  <c:v>0</c:v>
                </c:pt>
                <c:pt idx="16">
                  <c:v>0</c:v>
                </c:pt>
                <c:pt idx="17">
                  <c:v>0</c:v>
                </c:pt>
                <c:pt idx="18">
                  <c:v>0</c:v>
                </c:pt>
                <c:pt idx="19">
                  <c:v>0</c:v>
                </c:pt>
                <c:pt idx="20">
                  <c:v>6.3964938111927116E-3</c:v>
                </c:pt>
                <c:pt idx="21">
                  <c:v>4.2675189775823697E-3</c:v>
                </c:pt>
                <c:pt idx="22">
                  <c:v>0</c:v>
                </c:pt>
                <c:pt idx="23">
                  <c:v>0</c:v>
                </c:pt>
                <c:pt idx="24">
                  <c:v>8.6830391296614708E-3</c:v>
                </c:pt>
                <c:pt idx="25">
                  <c:v>8.585174952522423E-3</c:v>
                </c:pt>
                <c:pt idx="26">
                  <c:v>0</c:v>
                </c:pt>
                <c:pt idx="27">
                  <c:v>0</c:v>
                </c:pt>
                <c:pt idx="28">
                  <c:v>4.0026352908864297E-2</c:v>
                </c:pt>
                <c:pt idx="29">
                  <c:v>4.0115563371956896E-2</c:v>
                </c:pt>
                <c:pt idx="30">
                  <c:v>6.1410825807181817E-2</c:v>
                </c:pt>
                <c:pt idx="31">
                  <c:v>5.9911930865964115E-2</c:v>
                </c:pt>
                <c:pt idx="32">
                  <c:v>5.7652586511217317E-2</c:v>
                </c:pt>
                <c:pt idx="33">
                  <c:v>5.5642885518741497E-2</c:v>
                </c:pt>
                <c:pt idx="34">
                  <c:v>5.4175110543637203E-2</c:v>
                </c:pt>
                <c:pt idx="35">
                  <c:v>5.0925111949310223E-2</c:v>
                </c:pt>
                <c:pt idx="36">
                  <c:v>5.1126811692190202E-2</c:v>
                </c:pt>
                <c:pt idx="37">
                  <c:v>9.9781426158085731E-2</c:v>
                </c:pt>
                <c:pt idx="38">
                  <c:v>0.12113210741457603</c:v>
                </c:pt>
                <c:pt idx="39">
                  <c:v>7.7221520936326032E-2</c:v>
                </c:pt>
                <c:pt idx="40">
                  <c:v>7.1983011130639013E-2</c:v>
                </c:pt>
                <c:pt idx="41">
                  <c:v>6.3246162592381805E-2</c:v>
                </c:pt>
                <c:pt idx="42">
                  <c:v>5.504168837936417E-2</c:v>
                </c:pt>
                <c:pt idx="43">
                  <c:v>4.7621885802837001E-2</c:v>
                </c:pt>
                <c:pt idx="44">
                  <c:v>4.311273981464913E-2</c:v>
                </c:pt>
                <c:pt idx="45">
                  <c:v>3.8258058195356097E-2</c:v>
                </c:pt>
                <c:pt idx="46">
                  <c:v>5.0750122423540912E-2</c:v>
                </c:pt>
                <c:pt idx="47">
                  <c:v>7.3925992411570302E-2</c:v>
                </c:pt>
                <c:pt idx="48">
                  <c:v>6.9464375751464094E-2</c:v>
                </c:pt>
                <c:pt idx="49">
                  <c:v>6.2538187830212533E-2</c:v>
                </c:pt>
                <c:pt idx="50">
                  <c:v>5.543258589163752E-2</c:v>
                </c:pt>
                <c:pt idx="51">
                  <c:v>5.5500879782887383E-2</c:v>
                </c:pt>
                <c:pt idx="52">
                  <c:v>5.2028776978417304E-2</c:v>
                </c:pt>
                <c:pt idx="53">
                  <c:v>5.7405553506507202E-2</c:v>
                </c:pt>
                <c:pt idx="54">
                  <c:v>7.4967647247352123E-2</c:v>
                </c:pt>
                <c:pt idx="55">
                  <c:v>8.0227612021399206E-2</c:v>
                </c:pt>
                <c:pt idx="56">
                  <c:v>0.11937105842727699</c:v>
                </c:pt>
                <c:pt idx="57">
                  <c:v>0.119956364377553</c:v>
                </c:pt>
                <c:pt idx="58">
                  <c:v>0.12006093196554303</c:v>
                </c:pt>
                <c:pt idx="59">
                  <c:v>0.13065569675581495</c:v>
                </c:pt>
                <c:pt idx="60">
                  <c:v>0.17257454492021193</c:v>
                </c:pt>
                <c:pt idx="61">
                  <c:v>0.15719940313148512</c:v>
                </c:pt>
                <c:pt idx="62">
                  <c:v>0.12737036631687795</c:v>
                </c:pt>
                <c:pt idx="63">
                  <c:v>9.7729553264604793E-2</c:v>
                </c:pt>
                <c:pt idx="64">
                  <c:v>0.11342324198190608</c:v>
                </c:pt>
                <c:pt idx="65">
                  <c:v>0.12270807637873603</c:v>
                </c:pt>
                <c:pt idx="66">
                  <c:v>0.111468995265985</c:v>
                </c:pt>
                <c:pt idx="67">
                  <c:v>0.14711630639794707</c:v>
                </c:pt>
                <c:pt idx="68">
                  <c:v>0.11886703598736198</c:v>
                </c:pt>
                <c:pt idx="69">
                  <c:v>9.4486040161350204E-2</c:v>
                </c:pt>
                <c:pt idx="70">
                  <c:v>9.0160457743165903E-2</c:v>
                </c:pt>
                <c:pt idx="71">
                  <c:v>9.8595130081715054E-2</c:v>
                </c:pt>
                <c:pt idx="72">
                  <c:v>8.3215313083664227E-2</c:v>
                </c:pt>
                <c:pt idx="73">
                  <c:v>0.37548822806808912</c:v>
                </c:pt>
                <c:pt idx="74">
                  <c:v>0.24142001344404301</c:v>
                </c:pt>
                <c:pt idx="75">
                  <c:v>0.24165052193274095</c:v>
                </c:pt>
                <c:pt idx="76">
                  <c:v>0.20803713912665706</c:v>
                </c:pt>
                <c:pt idx="77">
                  <c:v>0.21496702779088606</c:v>
                </c:pt>
                <c:pt idx="78">
                  <c:v>0.22181560618581</c:v>
                </c:pt>
                <c:pt idx="79">
                  <c:v>0.19290945880475399</c:v>
                </c:pt>
                <c:pt idx="80">
                  <c:v>0.22222543018825006</c:v>
                </c:pt>
                <c:pt idx="81">
                  <c:v>0.23082131292316693</c:v>
                </c:pt>
                <c:pt idx="82">
                  <c:v>0.21700829111018111</c:v>
                </c:pt>
                <c:pt idx="83">
                  <c:v>0.23663789345191399</c:v>
                </c:pt>
                <c:pt idx="84">
                  <c:v>0.24255752985726806</c:v>
                </c:pt>
                <c:pt idx="85">
                  <c:v>0.19205830033855495</c:v>
                </c:pt>
                <c:pt idx="86">
                  <c:v>0.17105967919262499</c:v>
                </c:pt>
                <c:pt idx="87">
                  <c:v>0.20684181718664499</c:v>
                </c:pt>
                <c:pt idx="88">
                  <c:v>0.21931248155809011</c:v>
                </c:pt>
                <c:pt idx="89">
                  <c:v>0.15102753005041306</c:v>
                </c:pt>
                <c:pt idx="90">
                  <c:v>0.22453978239571001</c:v>
                </c:pt>
                <c:pt idx="91">
                  <c:v>0.21030520042917306</c:v>
                </c:pt>
                <c:pt idx="92">
                  <c:v>0.15462133300601399</c:v>
                </c:pt>
                <c:pt idx="93">
                  <c:v>0.12093382542271103</c:v>
                </c:pt>
                <c:pt idx="94">
                  <c:v>0.10227841663156698</c:v>
                </c:pt>
                <c:pt idx="95">
                  <c:v>7.4177398437735714E-2</c:v>
                </c:pt>
                <c:pt idx="96">
                  <c:v>4.8606723750890597E-2</c:v>
                </c:pt>
                <c:pt idx="97">
                  <c:v>5.5229113020817081E-2</c:v>
                </c:pt>
              </c:numCache>
            </c:numRef>
          </c:val>
        </c:ser>
        <c:marker val="1"/>
        <c:axId val="66503424"/>
        <c:axId val="66504960"/>
      </c:lineChart>
      <c:catAx>
        <c:axId val="66503424"/>
        <c:scaling>
          <c:orientation val="minMax"/>
        </c:scaling>
        <c:axPos val="b"/>
        <c:numFmt formatCode="General" sourceLinked="1"/>
        <c:tickLblPos val="nextTo"/>
        <c:txPr>
          <a:bodyPr/>
          <a:lstStyle/>
          <a:p>
            <a:pPr>
              <a:defRPr lang="en-IN" baseline="0">
                <a:latin typeface="Times New Roman" pitchFamily="18" charset="0"/>
              </a:defRPr>
            </a:pPr>
            <a:endParaRPr lang="en-US"/>
          </a:p>
        </c:txPr>
        <c:crossAx val="66504960"/>
        <c:crosses val="autoZero"/>
        <c:auto val="1"/>
        <c:lblAlgn val="ctr"/>
        <c:lblOffset val="100"/>
      </c:catAx>
      <c:valAx>
        <c:axId val="66504960"/>
        <c:scaling>
          <c:orientation val="minMax"/>
        </c:scaling>
        <c:axPos val="l"/>
        <c:majorGridlines/>
        <c:numFmt formatCode="#,##0.000" sourceLinked="0"/>
        <c:tickLblPos val="nextTo"/>
        <c:txPr>
          <a:bodyPr/>
          <a:lstStyle/>
          <a:p>
            <a:pPr>
              <a:defRPr lang="en-IN" baseline="0">
                <a:latin typeface="Times New Roman" pitchFamily="18" charset="0"/>
              </a:defRPr>
            </a:pPr>
            <a:endParaRPr lang="en-US"/>
          </a:p>
        </c:txPr>
        <c:crossAx val="66503424"/>
        <c:crosses val="autoZero"/>
        <c:crossBetween val="between"/>
      </c:valAx>
    </c:plotArea>
    <c:plotVisOnly val="1"/>
    <c:dispBlanksAs val="gap"/>
  </c:chart>
  <c:spPr>
    <a:noFill/>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lineChart>
        <c:grouping val="standard"/>
        <c:ser>
          <c:idx val="0"/>
          <c:order val="0"/>
          <c:tx>
            <c:strRef>
              <c:f>'TVT models'!$A$4</c:f>
              <c:strCache>
                <c:ptCount val="1"/>
                <c:pt idx="0">
                  <c:v>Real data</c:v>
                </c:pt>
              </c:strCache>
            </c:strRef>
          </c:tx>
          <c:spPr>
            <a:ln w="50800">
              <a:solidFill>
                <a:schemeClr val="tx1"/>
              </a:solidFill>
            </a:ln>
          </c:spPr>
          <c:marker>
            <c:symbol val="none"/>
          </c:marker>
          <c:cat>
            <c:numRef>
              <c:f>'TVT models'!$B$3:$AO$3</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'TVT models'!$B$4:$AO$4</c:f>
              <c:numCache>
                <c:formatCode>General</c:formatCode>
                <c:ptCount val="40"/>
                <c:pt idx="0">
                  <c:v>0.74400000000000022</c:v>
                </c:pt>
                <c:pt idx="1">
                  <c:v>0.59099999999999997</c:v>
                </c:pt>
                <c:pt idx="2">
                  <c:v>0.49100000000000016</c:v>
                </c:pt>
                <c:pt idx="3">
                  <c:v>0.42100000000000015</c:v>
                </c:pt>
                <c:pt idx="4">
                  <c:v>0.36900000000000016</c:v>
                </c:pt>
                <c:pt idx="5">
                  <c:v>0.32200000000000012</c:v>
                </c:pt>
                <c:pt idx="6">
                  <c:v>0.28700000000000009</c:v>
                </c:pt>
                <c:pt idx="7">
                  <c:v>0.25600000000000001</c:v>
                </c:pt>
                <c:pt idx="8">
                  <c:v>0.23</c:v>
                </c:pt>
                <c:pt idx="9">
                  <c:v>0.20800000000000005</c:v>
                </c:pt>
                <c:pt idx="10">
                  <c:v>0.191</c:v>
                </c:pt>
                <c:pt idx="11">
                  <c:v>0.17500000000000004</c:v>
                </c:pt>
                <c:pt idx="12">
                  <c:v>0.161</c:v>
                </c:pt>
                <c:pt idx="13">
                  <c:v>0.14800000000000005</c:v>
                </c:pt>
                <c:pt idx="14">
                  <c:v>0.13600000000000001</c:v>
                </c:pt>
                <c:pt idx="15">
                  <c:v>0.125</c:v>
                </c:pt>
                <c:pt idx="16">
                  <c:v>0.115</c:v>
                </c:pt>
                <c:pt idx="17">
                  <c:v>0.10800000000000003</c:v>
                </c:pt>
                <c:pt idx="18">
                  <c:v>9.9000000000000046E-2</c:v>
                </c:pt>
                <c:pt idx="19">
                  <c:v>9.1000000000000025E-2</c:v>
                </c:pt>
                <c:pt idx="20">
                  <c:v>8.3000000000000032E-2</c:v>
                </c:pt>
                <c:pt idx="21">
                  <c:v>7.5999999999999998E-2</c:v>
                </c:pt>
                <c:pt idx="22">
                  <c:v>7.0000000000000021E-2</c:v>
                </c:pt>
                <c:pt idx="23">
                  <c:v>6.4000000000000029E-2</c:v>
                </c:pt>
                <c:pt idx="24">
                  <c:v>6.0000000000000019E-2</c:v>
                </c:pt>
                <c:pt idx="25">
                  <c:v>5.5000000000000014E-2</c:v>
                </c:pt>
                <c:pt idx="26">
                  <c:v>5.1999999999999998E-2</c:v>
                </c:pt>
                <c:pt idx="27">
                  <c:v>4.8000000000000001E-2</c:v>
                </c:pt>
                <c:pt idx="28">
                  <c:v>4.5999999999999999E-2</c:v>
                </c:pt>
                <c:pt idx="29">
                  <c:v>4.5000000000000012E-2</c:v>
                </c:pt>
                <c:pt idx="30">
                  <c:v>4.2000000000000016E-2</c:v>
                </c:pt>
                <c:pt idx="31">
                  <c:v>3.6999999999999998E-2</c:v>
                </c:pt>
                <c:pt idx="32">
                  <c:v>3.2000000000000015E-2</c:v>
                </c:pt>
                <c:pt idx="33">
                  <c:v>2.8000000000000001E-2</c:v>
                </c:pt>
                <c:pt idx="34">
                  <c:v>2.4E-2</c:v>
                </c:pt>
                <c:pt idx="35">
                  <c:v>2.1000000000000008E-2</c:v>
                </c:pt>
                <c:pt idx="36">
                  <c:v>1.7999999999999999E-2</c:v>
                </c:pt>
                <c:pt idx="37">
                  <c:v>1.4999999999999998E-2</c:v>
                </c:pt>
                <c:pt idx="38">
                  <c:v>1.2999999999999998E-2</c:v>
                </c:pt>
                <c:pt idx="39">
                  <c:v>1.2E-2</c:v>
                </c:pt>
              </c:numCache>
            </c:numRef>
          </c:val>
        </c:ser>
        <c:ser>
          <c:idx val="1"/>
          <c:order val="1"/>
          <c:tx>
            <c:strRef>
              <c:f>'TVT models'!$A$5</c:f>
              <c:strCache>
                <c:ptCount val="1"/>
                <c:pt idx="0">
                  <c:v>TM 0.200 to 0.400</c:v>
                </c:pt>
              </c:strCache>
            </c:strRef>
          </c:tx>
          <c:spPr>
            <a:ln w="25400">
              <a:solidFill>
                <a:schemeClr val="tx1"/>
              </a:solidFill>
              <a:prstDash val="sysDash"/>
            </a:ln>
          </c:spPr>
          <c:marker>
            <c:symbol val="none"/>
          </c:marker>
          <c:cat>
            <c:numRef>
              <c:f>'TVT models'!$B$3:$AO$3</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'TVT models'!$B$5:$AO$5</c:f>
              <c:numCache>
                <c:formatCode>General</c:formatCode>
                <c:ptCount val="40"/>
                <c:pt idx="0">
                  <c:v>0.7300000000000002</c:v>
                </c:pt>
                <c:pt idx="1">
                  <c:v>0.59</c:v>
                </c:pt>
                <c:pt idx="2">
                  <c:v>0.5</c:v>
                </c:pt>
                <c:pt idx="3">
                  <c:v>0.4300000000000001</c:v>
                </c:pt>
                <c:pt idx="4">
                  <c:v>0.3600000000000001</c:v>
                </c:pt>
                <c:pt idx="5">
                  <c:v>0.32000000000000012</c:v>
                </c:pt>
                <c:pt idx="6">
                  <c:v>0.27</c:v>
                </c:pt>
                <c:pt idx="7">
                  <c:v>0.24000000000000005</c:v>
                </c:pt>
                <c:pt idx="8">
                  <c:v>0.21000000000000005</c:v>
                </c:pt>
                <c:pt idx="9">
                  <c:v>0.19</c:v>
                </c:pt>
                <c:pt idx="10">
                  <c:v>0.17</c:v>
                </c:pt>
                <c:pt idx="11">
                  <c:v>0.15000000000000005</c:v>
                </c:pt>
                <c:pt idx="12">
                  <c:v>0.14000000000000001</c:v>
                </c:pt>
                <c:pt idx="13">
                  <c:v>0.13</c:v>
                </c:pt>
                <c:pt idx="14">
                  <c:v>0.11</c:v>
                </c:pt>
                <c:pt idx="15">
                  <c:v>0.11</c:v>
                </c:pt>
                <c:pt idx="16">
                  <c:v>0.1</c:v>
                </c:pt>
                <c:pt idx="17">
                  <c:v>9.0000000000000024E-2</c:v>
                </c:pt>
                <c:pt idx="18">
                  <c:v>8.0000000000000029E-2</c:v>
                </c:pt>
                <c:pt idx="19">
                  <c:v>8.0000000000000029E-2</c:v>
                </c:pt>
                <c:pt idx="20">
                  <c:v>8.0000000000000029E-2</c:v>
                </c:pt>
                <c:pt idx="21">
                  <c:v>7.0000000000000021E-2</c:v>
                </c:pt>
                <c:pt idx="22">
                  <c:v>7.0000000000000021E-2</c:v>
                </c:pt>
                <c:pt idx="23">
                  <c:v>7.0000000000000021E-2</c:v>
                </c:pt>
                <c:pt idx="24">
                  <c:v>6.0000000000000019E-2</c:v>
                </c:pt>
                <c:pt idx="25">
                  <c:v>6.0000000000000019E-2</c:v>
                </c:pt>
                <c:pt idx="26">
                  <c:v>6.0000000000000019E-2</c:v>
                </c:pt>
                <c:pt idx="27">
                  <c:v>6.0000000000000019E-2</c:v>
                </c:pt>
                <c:pt idx="28">
                  <c:v>0.05</c:v>
                </c:pt>
                <c:pt idx="29">
                  <c:v>0.05</c:v>
                </c:pt>
                <c:pt idx="30">
                  <c:v>0.05</c:v>
                </c:pt>
                <c:pt idx="31">
                  <c:v>0.05</c:v>
                </c:pt>
                <c:pt idx="32">
                  <c:v>0.05</c:v>
                </c:pt>
                <c:pt idx="33">
                  <c:v>4.0000000000000015E-2</c:v>
                </c:pt>
                <c:pt idx="34">
                  <c:v>4.0000000000000015E-2</c:v>
                </c:pt>
                <c:pt idx="35">
                  <c:v>4.0000000000000015E-2</c:v>
                </c:pt>
                <c:pt idx="36">
                  <c:v>4.0000000000000015E-2</c:v>
                </c:pt>
                <c:pt idx="37">
                  <c:v>0.05</c:v>
                </c:pt>
                <c:pt idx="38">
                  <c:v>0.05</c:v>
                </c:pt>
                <c:pt idx="39">
                  <c:v>0.05</c:v>
                </c:pt>
              </c:numCache>
            </c:numRef>
          </c:val>
        </c:ser>
        <c:ser>
          <c:idx val="2"/>
          <c:order val="2"/>
          <c:tx>
            <c:strRef>
              <c:f>'TVT models'!$A$6</c:f>
              <c:strCache>
                <c:ptCount val="1"/>
                <c:pt idx="0">
                  <c:v>TM 0.100 to 0.400</c:v>
                </c:pt>
              </c:strCache>
            </c:strRef>
          </c:tx>
          <c:spPr>
            <a:ln w="50800">
              <a:solidFill>
                <a:schemeClr val="tx1"/>
              </a:solidFill>
              <a:prstDash val="sysDot"/>
            </a:ln>
          </c:spPr>
          <c:marker>
            <c:symbol val="none"/>
          </c:marker>
          <c:cat>
            <c:numRef>
              <c:f>'TVT models'!$B$3:$AO$3</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'TVT models'!$B$6:$AO$6</c:f>
              <c:numCache>
                <c:formatCode>General</c:formatCode>
                <c:ptCount val="40"/>
                <c:pt idx="0">
                  <c:v>0.77000000000000024</c:v>
                </c:pt>
                <c:pt idx="1">
                  <c:v>0.61000000000000021</c:v>
                </c:pt>
                <c:pt idx="2">
                  <c:v>0.5</c:v>
                </c:pt>
                <c:pt idx="3">
                  <c:v>0.41000000000000009</c:v>
                </c:pt>
                <c:pt idx="4">
                  <c:v>0.35000000000000009</c:v>
                </c:pt>
                <c:pt idx="5">
                  <c:v>0.3000000000000001</c:v>
                </c:pt>
                <c:pt idx="6">
                  <c:v>0.26</c:v>
                </c:pt>
                <c:pt idx="7">
                  <c:v>0.24000000000000005</c:v>
                </c:pt>
                <c:pt idx="8">
                  <c:v>0.22</c:v>
                </c:pt>
                <c:pt idx="9">
                  <c:v>0.2</c:v>
                </c:pt>
                <c:pt idx="10">
                  <c:v>0.19</c:v>
                </c:pt>
                <c:pt idx="11">
                  <c:v>0.18000000000000005</c:v>
                </c:pt>
                <c:pt idx="12">
                  <c:v>0.17</c:v>
                </c:pt>
                <c:pt idx="13">
                  <c:v>0.16</c:v>
                </c:pt>
                <c:pt idx="14">
                  <c:v>0.16</c:v>
                </c:pt>
                <c:pt idx="15">
                  <c:v>0.15000000000000005</c:v>
                </c:pt>
                <c:pt idx="16">
                  <c:v>0.15000000000000005</c:v>
                </c:pt>
                <c:pt idx="17">
                  <c:v>0.14000000000000001</c:v>
                </c:pt>
                <c:pt idx="18">
                  <c:v>0.14000000000000001</c:v>
                </c:pt>
                <c:pt idx="19">
                  <c:v>0.14000000000000001</c:v>
                </c:pt>
                <c:pt idx="20">
                  <c:v>0.13</c:v>
                </c:pt>
                <c:pt idx="21">
                  <c:v>0.13</c:v>
                </c:pt>
                <c:pt idx="22">
                  <c:v>0.13</c:v>
                </c:pt>
                <c:pt idx="23">
                  <c:v>0.13</c:v>
                </c:pt>
                <c:pt idx="24">
                  <c:v>0.13</c:v>
                </c:pt>
                <c:pt idx="25">
                  <c:v>0.13</c:v>
                </c:pt>
                <c:pt idx="26">
                  <c:v>0.13</c:v>
                </c:pt>
                <c:pt idx="27">
                  <c:v>0.12000000000000002</c:v>
                </c:pt>
                <c:pt idx="28">
                  <c:v>0.12000000000000002</c:v>
                </c:pt>
                <c:pt idx="29">
                  <c:v>0.12000000000000002</c:v>
                </c:pt>
                <c:pt idx="30">
                  <c:v>0.12000000000000002</c:v>
                </c:pt>
                <c:pt idx="31">
                  <c:v>0.12000000000000002</c:v>
                </c:pt>
                <c:pt idx="32">
                  <c:v>0.12000000000000002</c:v>
                </c:pt>
                <c:pt idx="33">
                  <c:v>0.12000000000000002</c:v>
                </c:pt>
                <c:pt idx="34">
                  <c:v>0.12000000000000002</c:v>
                </c:pt>
                <c:pt idx="35">
                  <c:v>0.12000000000000002</c:v>
                </c:pt>
                <c:pt idx="36">
                  <c:v>0.12000000000000002</c:v>
                </c:pt>
                <c:pt idx="37">
                  <c:v>0.12000000000000002</c:v>
                </c:pt>
                <c:pt idx="38">
                  <c:v>0.12000000000000002</c:v>
                </c:pt>
                <c:pt idx="39">
                  <c:v>0.12000000000000002</c:v>
                </c:pt>
              </c:numCache>
            </c:numRef>
          </c:val>
        </c:ser>
        <c:marker val="1"/>
        <c:axId val="69231744"/>
        <c:axId val="69233664"/>
      </c:lineChart>
      <c:catAx>
        <c:axId val="69231744"/>
        <c:scaling>
          <c:orientation val="minMax"/>
        </c:scaling>
        <c:axPos val="b"/>
        <c:title>
          <c:tx>
            <c:rich>
              <a:bodyPr/>
              <a:lstStyle/>
              <a:p>
                <a:pPr>
                  <a:defRPr lang="en-IN"/>
                </a:pPr>
                <a:r>
                  <a:rPr lang="en-US" b="0" i="1"/>
                  <a:t>T</a:t>
                </a:r>
                <a:r>
                  <a:rPr lang="en-US" b="0"/>
                  <a:t>, years between cross</a:t>
                </a:r>
                <a:r>
                  <a:rPr lang="en-US" b="0" baseline="0"/>
                  <a:t> </a:t>
                </a:r>
                <a:r>
                  <a:rPr lang="en-US" b="0"/>
                  <a:t>sections</a:t>
                </a:r>
              </a:p>
            </c:rich>
          </c:tx>
        </c:title>
        <c:numFmt formatCode="General" sourceLinked="1"/>
        <c:tickLblPos val="nextTo"/>
        <c:txPr>
          <a:bodyPr/>
          <a:lstStyle/>
          <a:p>
            <a:pPr>
              <a:defRPr lang="en-IN"/>
            </a:pPr>
            <a:endParaRPr lang="en-US"/>
          </a:p>
        </c:txPr>
        <c:crossAx val="69233664"/>
        <c:crosses val="autoZero"/>
        <c:auto val="1"/>
        <c:lblAlgn val="ctr"/>
        <c:lblOffset val="100"/>
        <c:tickLblSkip val="2"/>
      </c:catAx>
      <c:valAx>
        <c:axId val="69233664"/>
        <c:scaling>
          <c:orientation val="minMax"/>
        </c:scaling>
        <c:axPos val="l"/>
        <c:majorGridlines/>
        <c:title>
          <c:tx>
            <c:rich>
              <a:bodyPr rot="-5400000" vert="horz"/>
              <a:lstStyle/>
              <a:p>
                <a:pPr>
                  <a:defRPr lang="en-IN"/>
                </a:pPr>
                <a:r>
                  <a:rPr lang="en-US" b="0" i="1"/>
                  <a:t>R</a:t>
                </a:r>
                <a:r>
                  <a:rPr lang="en-US" b="0" i="1" baseline="30000"/>
                  <a:t>2</a:t>
                </a:r>
                <a:endParaRPr lang="en-US" b="0" i="1"/>
              </a:p>
            </c:rich>
          </c:tx>
        </c:title>
        <c:numFmt formatCode="General" sourceLinked="1"/>
        <c:tickLblPos val="nextTo"/>
        <c:txPr>
          <a:bodyPr/>
          <a:lstStyle/>
          <a:p>
            <a:pPr>
              <a:defRPr lang="en-IN"/>
            </a:pPr>
            <a:endParaRPr lang="en-US"/>
          </a:p>
        </c:txPr>
        <c:crossAx val="69231744"/>
        <c:crosses val="autoZero"/>
        <c:crossBetween val="between"/>
      </c:valAx>
    </c:plotArea>
    <c:legend>
      <c:legendPos val="t"/>
      <c:txPr>
        <a:bodyPr/>
        <a:lstStyle/>
        <a:p>
          <a:pPr>
            <a:defRPr lang="en-IN"/>
          </a:pPr>
          <a:endParaRPr lang="en-US"/>
        </a:p>
      </c:txPr>
    </c:legend>
    <c:plotVisOnly val="1"/>
    <c:dispBlanksAs val="gap"/>
  </c:chart>
  <c:spPr>
    <a:ln>
      <a:noFill/>
    </a:ln>
  </c:spPr>
  <c:txPr>
    <a:bodyPr/>
    <a:lstStyle/>
    <a:p>
      <a:pPr>
        <a:defRPr>
          <a:latin typeface="Times New Roman"/>
          <a:cs typeface="Times New Roman"/>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IN" sz="1000">
                <a:latin typeface="Times New Roman" pitchFamily="18" charset="0"/>
                <a:cs typeface="Times New Roman" pitchFamily="18" charset="0"/>
              </a:defRPr>
            </a:pPr>
            <a:r>
              <a:rPr lang="en-US"/>
              <a:t>Texaco </a:t>
            </a:r>
          </a:p>
        </c:rich>
      </c:tx>
      <c:layout>
        <c:manualLayout>
          <c:xMode val="edge"/>
          <c:yMode val="edge"/>
          <c:x val="0.44864970139602101"/>
          <c:y val="3.2093509497753615E-2"/>
        </c:manualLayout>
      </c:layout>
    </c:title>
    <c:plotArea>
      <c:layout>
        <c:manualLayout>
          <c:layoutTarget val="inner"/>
          <c:xMode val="edge"/>
          <c:yMode val="edge"/>
          <c:x val="0.10690532240171004"/>
          <c:y val="3.2485875706215028E-2"/>
          <c:w val="0.861834384104049"/>
          <c:h val="0.71296363595575996"/>
        </c:manualLayout>
      </c:layout>
      <c:lineChart>
        <c:grouping val="standard"/>
        <c:ser>
          <c:idx val="0"/>
          <c:order val="0"/>
          <c:tx>
            <c:strRef>
              <c:f>'DJIA 24 DebttoTA'!$D$65</c:f>
              <c:strCache>
                <c:ptCount val="1"/>
                <c:pt idx="0">
                  <c:v>Texaco Debt/Total Assets</c:v>
                </c:pt>
              </c:strCache>
            </c:strRef>
          </c:tx>
          <c:spPr>
            <a:ln w="28575">
              <a:solidFill>
                <a:sysClr val="windowText" lastClr="000000"/>
              </a:solidFill>
            </a:ln>
          </c:spPr>
          <c:marker>
            <c:symbol val="none"/>
          </c:marker>
          <c:cat>
            <c:numRef>
              <c:f>'DJIA 24 DebttoTA'!$E$64:$CP$64</c:f>
              <c:numCache>
                <c:formatCode>General</c:formatCode>
                <c:ptCount val="90"/>
                <c:pt idx="0">
                  <c:v>1912</c:v>
                </c:pt>
                <c:pt idx="1">
                  <c:v>1913</c:v>
                </c:pt>
                <c:pt idx="2">
                  <c:v>1914</c:v>
                </c:pt>
                <c:pt idx="3">
                  <c:v>1915</c:v>
                </c:pt>
                <c:pt idx="4">
                  <c:v>1916</c:v>
                </c:pt>
                <c:pt idx="5">
                  <c:v>1917</c:v>
                </c:pt>
                <c:pt idx="6">
                  <c:v>1918</c:v>
                </c:pt>
                <c:pt idx="7">
                  <c:v>1918</c:v>
                </c:pt>
                <c:pt idx="8">
                  <c:v>1919</c:v>
                </c:pt>
                <c:pt idx="9">
                  <c:v>1920</c:v>
                </c:pt>
                <c:pt idx="10">
                  <c:v>1921</c:v>
                </c:pt>
                <c:pt idx="11">
                  <c:v>1922</c:v>
                </c:pt>
                <c:pt idx="12">
                  <c:v>1923</c:v>
                </c:pt>
                <c:pt idx="13">
                  <c:v>1924</c:v>
                </c:pt>
                <c:pt idx="14">
                  <c:v>1925</c:v>
                </c:pt>
                <c:pt idx="15">
                  <c:v>1926</c:v>
                </c:pt>
                <c:pt idx="16">
                  <c:v>1927</c:v>
                </c:pt>
                <c:pt idx="17">
                  <c:v>1928</c:v>
                </c:pt>
                <c:pt idx="18">
                  <c:v>1929</c:v>
                </c:pt>
                <c:pt idx="19">
                  <c:v>1930</c:v>
                </c:pt>
                <c:pt idx="20">
                  <c:v>1931</c:v>
                </c:pt>
                <c:pt idx="21">
                  <c:v>1932</c:v>
                </c:pt>
                <c:pt idx="22">
                  <c:v>1933</c:v>
                </c:pt>
                <c:pt idx="23">
                  <c:v>1934</c:v>
                </c:pt>
                <c:pt idx="24">
                  <c:v>1935</c:v>
                </c:pt>
                <c:pt idx="25">
                  <c:v>1936</c:v>
                </c:pt>
                <c:pt idx="26">
                  <c:v>1937</c:v>
                </c:pt>
                <c:pt idx="27">
                  <c:v>1938</c:v>
                </c:pt>
                <c:pt idx="28">
                  <c:v>1939</c:v>
                </c:pt>
                <c:pt idx="29">
                  <c:v>1940</c:v>
                </c:pt>
                <c:pt idx="30">
                  <c:v>1941</c:v>
                </c:pt>
                <c:pt idx="31">
                  <c:v>1942</c:v>
                </c:pt>
                <c:pt idx="32">
                  <c:v>1943</c:v>
                </c:pt>
                <c:pt idx="33">
                  <c:v>1944</c:v>
                </c:pt>
                <c:pt idx="34">
                  <c:v>1945</c:v>
                </c:pt>
                <c:pt idx="35">
                  <c:v>1946</c:v>
                </c:pt>
                <c:pt idx="36">
                  <c:v>1947</c:v>
                </c:pt>
                <c:pt idx="37">
                  <c:v>1948</c:v>
                </c:pt>
                <c:pt idx="38">
                  <c:v>1949</c:v>
                </c:pt>
                <c:pt idx="39">
                  <c:v>1950</c:v>
                </c:pt>
                <c:pt idx="40">
                  <c:v>1951</c:v>
                </c:pt>
                <c:pt idx="41">
                  <c:v>1952</c:v>
                </c:pt>
                <c:pt idx="42">
                  <c:v>1953</c:v>
                </c:pt>
                <c:pt idx="43">
                  <c:v>1954</c:v>
                </c:pt>
                <c:pt idx="44">
                  <c:v>1955</c:v>
                </c:pt>
                <c:pt idx="45">
                  <c:v>1956</c:v>
                </c:pt>
                <c:pt idx="46">
                  <c:v>1957</c:v>
                </c:pt>
                <c:pt idx="47">
                  <c:v>1958</c:v>
                </c:pt>
                <c:pt idx="48">
                  <c:v>1959</c:v>
                </c:pt>
                <c:pt idx="49">
                  <c:v>1960</c:v>
                </c:pt>
                <c:pt idx="50">
                  <c:v>1961</c:v>
                </c:pt>
                <c:pt idx="51">
                  <c:v>1962</c:v>
                </c:pt>
                <c:pt idx="52">
                  <c:v>1963</c:v>
                </c:pt>
                <c:pt idx="53">
                  <c:v>1964</c:v>
                </c:pt>
                <c:pt idx="54">
                  <c:v>1965</c:v>
                </c:pt>
                <c:pt idx="55">
                  <c:v>1966</c:v>
                </c:pt>
                <c:pt idx="56">
                  <c:v>1967</c:v>
                </c:pt>
                <c:pt idx="57">
                  <c:v>1968</c:v>
                </c:pt>
                <c:pt idx="58">
                  <c:v>1969</c:v>
                </c:pt>
                <c:pt idx="59">
                  <c:v>1970</c:v>
                </c:pt>
                <c:pt idx="60">
                  <c:v>1971</c:v>
                </c:pt>
                <c:pt idx="61">
                  <c:v>1972</c:v>
                </c:pt>
                <c:pt idx="62">
                  <c:v>1973</c:v>
                </c:pt>
                <c:pt idx="63">
                  <c:v>1974</c:v>
                </c:pt>
                <c:pt idx="64">
                  <c:v>1975</c:v>
                </c:pt>
                <c:pt idx="65">
                  <c:v>1976</c:v>
                </c:pt>
                <c:pt idx="66">
                  <c:v>1977</c:v>
                </c:pt>
                <c:pt idx="67">
                  <c:v>1978</c:v>
                </c:pt>
                <c:pt idx="68">
                  <c:v>1979</c:v>
                </c:pt>
                <c:pt idx="69">
                  <c:v>1980</c:v>
                </c:pt>
                <c:pt idx="70">
                  <c:v>1981</c:v>
                </c:pt>
                <c:pt idx="71">
                  <c:v>1982</c:v>
                </c:pt>
                <c:pt idx="72">
                  <c:v>1983</c:v>
                </c:pt>
                <c:pt idx="73">
                  <c:v>1984</c:v>
                </c:pt>
                <c:pt idx="74">
                  <c:v>1985</c:v>
                </c:pt>
                <c:pt idx="75">
                  <c:v>1986</c:v>
                </c:pt>
                <c:pt idx="76">
                  <c:v>1987</c:v>
                </c:pt>
                <c:pt idx="77">
                  <c:v>1988</c:v>
                </c:pt>
                <c:pt idx="78">
                  <c:v>1989</c:v>
                </c:pt>
                <c:pt idx="79">
                  <c:v>1990</c:v>
                </c:pt>
                <c:pt idx="80">
                  <c:v>1991</c:v>
                </c:pt>
                <c:pt idx="81">
                  <c:v>1992</c:v>
                </c:pt>
                <c:pt idx="82">
                  <c:v>1993</c:v>
                </c:pt>
                <c:pt idx="83">
                  <c:v>1994</c:v>
                </c:pt>
                <c:pt idx="84">
                  <c:v>1995</c:v>
                </c:pt>
                <c:pt idx="85">
                  <c:v>1996</c:v>
                </c:pt>
                <c:pt idx="86">
                  <c:v>1997</c:v>
                </c:pt>
                <c:pt idx="87">
                  <c:v>1998</c:v>
                </c:pt>
                <c:pt idx="88">
                  <c:v>1999</c:v>
                </c:pt>
                <c:pt idx="89">
                  <c:v>2000</c:v>
                </c:pt>
              </c:numCache>
            </c:numRef>
          </c:cat>
          <c:val>
            <c:numRef>
              <c:f>'DJIA 24 DebttoTA'!$E$65:$CP$65</c:f>
              <c:numCache>
                <c:formatCode>0.000</c:formatCode>
                <c:ptCount val="90"/>
                <c:pt idx="0">
                  <c:v>0.30602783959989122</c:v>
                </c:pt>
                <c:pt idx="1">
                  <c:v>0.27911671104133301</c:v>
                </c:pt>
                <c:pt idx="2">
                  <c:v>0.26180846845843597</c:v>
                </c:pt>
                <c:pt idx="3">
                  <c:v>0.22713591666074295</c:v>
                </c:pt>
                <c:pt idx="4">
                  <c:v>0.17036682465595496</c:v>
                </c:pt>
                <c:pt idx="5">
                  <c:v>0.12663577789895195</c:v>
                </c:pt>
                <c:pt idx="6">
                  <c:v>9.8912414789118983E-2</c:v>
                </c:pt>
                <c:pt idx="7">
                  <c:v>8.8798341552518173E-2</c:v>
                </c:pt>
                <c:pt idx="8">
                  <c:v>6.4134615552324734E-2</c:v>
                </c:pt>
                <c:pt idx="9">
                  <c:v>0.110145158156795</c:v>
                </c:pt>
                <c:pt idx="10">
                  <c:v>9.3932067395907232E-2</c:v>
                </c:pt>
                <c:pt idx="11">
                  <c:v>0</c:v>
                </c:pt>
                <c:pt idx="12">
                  <c:v>0</c:v>
                </c:pt>
                <c:pt idx="13">
                  <c:v>0</c:v>
                </c:pt>
                <c:pt idx="14">
                  <c:v>4.0936565279912698E-3</c:v>
                </c:pt>
                <c:pt idx="15">
                  <c:v>2.0887778032116715E-2</c:v>
                </c:pt>
                <c:pt idx="16">
                  <c:v>2.3265819931296998E-2</c:v>
                </c:pt>
                <c:pt idx="17">
                  <c:v>0.11953729844365603</c:v>
                </c:pt>
                <c:pt idx="18">
                  <c:v>0.20237130267435297</c:v>
                </c:pt>
                <c:pt idx="19">
                  <c:v>0.20438158480695001</c:v>
                </c:pt>
                <c:pt idx="20">
                  <c:v>0.21689577281583999</c:v>
                </c:pt>
                <c:pt idx="21">
                  <c:v>0.21220319003982108</c:v>
                </c:pt>
                <c:pt idx="22">
                  <c:v>0.21662958740939106</c:v>
                </c:pt>
                <c:pt idx="23">
                  <c:v>0.22476723298593507</c:v>
                </c:pt>
                <c:pt idx="24">
                  <c:v>0.20539507537246307</c:v>
                </c:pt>
                <c:pt idx="25">
                  <c:v>0.19201825799949906</c:v>
                </c:pt>
                <c:pt idx="26">
                  <c:v>0.119062189326797</c:v>
                </c:pt>
                <c:pt idx="27">
                  <c:v>0.112548492036984</c:v>
                </c:pt>
                <c:pt idx="28">
                  <c:v>0.1641728162201499</c:v>
                </c:pt>
                <c:pt idx="29">
                  <c:v>0.17660154776839701</c:v>
                </c:pt>
                <c:pt idx="30">
                  <c:v>0.17469198806849306</c:v>
                </c:pt>
                <c:pt idx="31">
                  <c:v>0.16837042869212601</c:v>
                </c:pt>
                <c:pt idx="32">
                  <c:v>0.16978873118980806</c:v>
                </c:pt>
                <c:pt idx="33">
                  <c:v>0.170926221250502</c:v>
                </c:pt>
                <c:pt idx="34">
                  <c:v>0.15375623043682715</c:v>
                </c:pt>
                <c:pt idx="35">
                  <c:v>0.17233129415713211</c:v>
                </c:pt>
                <c:pt idx="36">
                  <c:v>0.13241035266871501</c:v>
                </c:pt>
                <c:pt idx="37">
                  <c:v>0.13179410437537206</c:v>
                </c:pt>
                <c:pt idx="38">
                  <c:v>0.13540673579506707</c:v>
                </c:pt>
                <c:pt idx="39">
                  <c:v>0.12603234783758599</c:v>
                </c:pt>
                <c:pt idx="40">
                  <c:v>0.115271659324523</c:v>
                </c:pt>
                <c:pt idx="41">
                  <c:v>0.13179553216505199</c:v>
                </c:pt>
                <c:pt idx="42">
                  <c:v>0.12358768406961203</c:v>
                </c:pt>
                <c:pt idx="43">
                  <c:v>0.11380606364319698</c:v>
                </c:pt>
                <c:pt idx="44">
                  <c:v>0.10294790808386001</c:v>
                </c:pt>
                <c:pt idx="45">
                  <c:v>0.14824598888932217</c:v>
                </c:pt>
                <c:pt idx="46">
                  <c:v>0.118030906027034</c:v>
                </c:pt>
                <c:pt idx="47">
                  <c:v>0.11872087417644303</c:v>
                </c:pt>
                <c:pt idx="48">
                  <c:v>0.10684947874660203</c:v>
                </c:pt>
                <c:pt idx="49">
                  <c:v>0.10293956345289</c:v>
                </c:pt>
                <c:pt idx="50">
                  <c:v>9.4026293534251557E-2</c:v>
                </c:pt>
                <c:pt idx="51">
                  <c:v>8.6250002100438747E-2</c:v>
                </c:pt>
                <c:pt idx="52">
                  <c:v>8.2781568441367595E-2</c:v>
                </c:pt>
                <c:pt idx="53">
                  <c:v>0.106205266694008</c:v>
                </c:pt>
                <c:pt idx="54">
                  <c:v>9.3507306334503076E-2</c:v>
                </c:pt>
                <c:pt idx="55">
                  <c:v>0.13415270840425195</c:v>
                </c:pt>
                <c:pt idx="56">
                  <c:v>0.15053166258855</c:v>
                </c:pt>
                <c:pt idx="57">
                  <c:v>0.16340136754510007</c:v>
                </c:pt>
                <c:pt idx="58">
                  <c:v>0.14667820207141699</c:v>
                </c:pt>
                <c:pt idx="59">
                  <c:v>0.14161260043420901</c:v>
                </c:pt>
                <c:pt idx="60">
                  <c:v>0.15146272894626406</c:v>
                </c:pt>
                <c:pt idx="61">
                  <c:v>0.17475317687149411</c:v>
                </c:pt>
                <c:pt idx="62">
                  <c:v>0.15015397121878993</c:v>
                </c:pt>
                <c:pt idx="63">
                  <c:v>0.14737753592230299</c:v>
                </c:pt>
                <c:pt idx="64">
                  <c:v>0.15169291040725399</c:v>
                </c:pt>
                <c:pt idx="65">
                  <c:v>0.17812763809283699</c:v>
                </c:pt>
                <c:pt idx="66">
                  <c:v>0.17900519783671207</c:v>
                </c:pt>
                <c:pt idx="67">
                  <c:v>0.21094512357440912</c:v>
                </c:pt>
                <c:pt idx="68">
                  <c:v>0.16097387253252701</c:v>
                </c:pt>
                <c:pt idx="69">
                  <c:v>0.12714395252213506</c:v>
                </c:pt>
                <c:pt idx="70">
                  <c:v>0.11033501099784998</c:v>
                </c:pt>
                <c:pt idx="71">
                  <c:v>0.10385782252710697</c:v>
                </c:pt>
                <c:pt idx="72">
                  <c:v>0.112467370123902</c:v>
                </c:pt>
                <c:pt idx="73">
                  <c:v>0.31962696057651713</c:v>
                </c:pt>
                <c:pt idx="74">
                  <c:v>0.274513964406015</c:v>
                </c:pt>
                <c:pt idx="75">
                  <c:v>0.26081854607899302</c:v>
                </c:pt>
                <c:pt idx="76">
                  <c:v>0.30079356039032501</c:v>
                </c:pt>
                <c:pt idx="77">
                  <c:v>0.30079356039032501</c:v>
                </c:pt>
                <c:pt idx="78">
                  <c:v>0.23502106412856894</c:v>
                </c:pt>
                <c:pt idx="79">
                  <c:v>0.23102983638113606</c:v>
                </c:pt>
                <c:pt idx="80">
                  <c:v>0.24841494156290717</c:v>
                </c:pt>
                <c:pt idx="81">
                  <c:v>0.2531932902431519</c:v>
                </c:pt>
                <c:pt idx="82">
                  <c:v>0.25636595808608093</c:v>
                </c:pt>
                <c:pt idx="83">
                  <c:v>0.25410703783571786</c:v>
                </c:pt>
                <c:pt idx="84">
                  <c:v>0.25023058106428198</c:v>
                </c:pt>
                <c:pt idx="85">
                  <c:v>0.20732114378963801</c:v>
                </c:pt>
                <c:pt idx="86">
                  <c:v>0.21594594594594707</c:v>
                </c:pt>
                <c:pt idx="87">
                  <c:v>0.25519775988799387</c:v>
                </c:pt>
                <c:pt idx="88">
                  <c:v>0.26394449813613091</c:v>
                </c:pt>
                <c:pt idx="89">
                  <c:v>0.23296724657401208</c:v>
                </c:pt>
              </c:numCache>
            </c:numRef>
          </c:val>
        </c:ser>
        <c:marker val="1"/>
        <c:axId val="69929216"/>
        <c:axId val="90517504"/>
      </c:lineChart>
      <c:catAx>
        <c:axId val="69929216"/>
        <c:scaling>
          <c:orientation val="minMax"/>
        </c:scaling>
        <c:axPos val="b"/>
        <c:numFmt formatCode="General" sourceLinked="1"/>
        <c:tickLblPos val="nextTo"/>
        <c:txPr>
          <a:bodyPr/>
          <a:lstStyle/>
          <a:p>
            <a:pPr>
              <a:defRPr lang="en-IN">
                <a:latin typeface="Times New Roman" pitchFamily="18" charset="0"/>
                <a:cs typeface="Times New Roman" pitchFamily="18" charset="0"/>
              </a:defRPr>
            </a:pPr>
            <a:endParaRPr lang="en-US"/>
          </a:p>
        </c:txPr>
        <c:crossAx val="90517504"/>
        <c:crosses val="autoZero"/>
        <c:auto val="1"/>
        <c:lblAlgn val="ctr"/>
        <c:lblOffset val="100"/>
      </c:catAx>
      <c:valAx>
        <c:axId val="90517504"/>
        <c:scaling>
          <c:orientation val="minMax"/>
        </c:scaling>
        <c:axPos val="l"/>
        <c:majorGridlines/>
        <c:numFmt formatCode="0.000" sourceLinked="1"/>
        <c:tickLblPos val="nextTo"/>
        <c:txPr>
          <a:bodyPr/>
          <a:lstStyle/>
          <a:p>
            <a:pPr>
              <a:defRPr lang="en-IN">
                <a:latin typeface="Times New Roman" pitchFamily="18" charset="0"/>
                <a:cs typeface="Times New Roman" pitchFamily="18" charset="0"/>
              </a:defRPr>
            </a:pPr>
            <a:endParaRPr lang="en-US"/>
          </a:p>
        </c:txPr>
        <c:crossAx val="69929216"/>
        <c:crosses val="autoZero"/>
        <c:crossBetween val="between"/>
      </c:valAx>
    </c:plotArea>
    <c:plotVisOnly val="1"/>
    <c:dispBlanksAs val="gap"/>
  </c:chart>
  <c:spPr>
    <a:ln>
      <a:noFill/>
    </a:ln>
  </c:spPr>
  <c:externalData r:id="rId2"/>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diagram'!$B$37</c:f>
              <c:strCache>
                <c:ptCount val="1"/>
                <c:pt idx="0">
                  <c:v>TotDebttoTA</c:v>
                </c:pt>
              </c:strCache>
            </c:strRef>
          </c:tx>
          <c:spPr>
            <a:ln>
              <a:solidFill>
                <a:schemeClr val="tx1"/>
              </a:solidFill>
            </a:ln>
          </c:spPr>
          <c:marker>
            <c:symbol val="none"/>
          </c:marker>
          <c:cat>
            <c:numRef>
              <c:f>'HD diagram'!$C$36:$CO$36</c:f>
              <c:numCache>
                <c:formatCode>General</c:formatCode>
                <c:ptCount val="91"/>
                <c:pt idx="0">
                  <c:v>1918</c:v>
                </c:pt>
                <c:pt idx="1">
                  <c:v>1919</c:v>
                </c:pt>
                <c:pt idx="2">
                  <c:v>1920</c:v>
                </c:pt>
                <c:pt idx="3">
                  <c:v>1921</c:v>
                </c:pt>
                <c:pt idx="4">
                  <c:v>1922</c:v>
                </c:pt>
                <c:pt idx="5">
                  <c:v>1923</c:v>
                </c:pt>
                <c:pt idx="6">
                  <c:v>1924</c:v>
                </c:pt>
                <c:pt idx="7">
                  <c:v>1925</c:v>
                </c:pt>
                <c:pt idx="8">
                  <c:v>1926</c:v>
                </c:pt>
                <c:pt idx="9">
                  <c:v>1927</c:v>
                </c:pt>
                <c:pt idx="10">
                  <c:v>1928</c:v>
                </c:pt>
                <c:pt idx="11">
                  <c:v>1929</c:v>
                </c:pt>
                <c:pt idx="12">
                  <c:v>1930</c:v>
                </c:pt>
                <c:pt idx="13">
                  <c:v>1931</c:v>
                </c:pt>
                <c:pt idx="14">
                  <c:v>1932</c:v>
                </c:pt>
                <c:pt idx="15">
                  <c:v>1933</c:v>
                </c:pt>
                <c:pt idx="16">
                  <c:v>1934</c:v>
                </c:pt>
                <c:pt idx="17">
                  <c:v>1935</c:v>
                </c:pt>
                <c:pt idx="18">
                  <c:v>1936</c:v>
                </c:pt>
                <c:pt idx="19">
                  <c:v>1937</c:v>
                </c:pt>
                <c:pt idx="20">
                  <c:v>1938</c:v>
                </c:pt>
                <c:pt idx="21">
                  <c:v>1939</c:v>
                </c:pt>
                <c:pt idx="22">
                  <c:v>1940</c:v>
                </c:pt>
                <c:pt idx="23">
                  <c:v>1941</c:v>
                </c:pt>
                <c:pt idx="24">
                  <c:v>1942</c:v>
                </c:pt>
                <c:pt idx="25">
                  <c:v>1943</c:v>
                </c:pt>
                <c:pt idx="26">
                  <c:v>1944</c:v>
                </c:pt>
                <c:pt idx="27">
                  <c:v>1945</c:v>
                </c:pt>
                <c:pt idx="28">
                  <c:v>1946</c:v>
                </c:pt>
                <c:pt idx="29">
                  <c:v>1947</c:v>
                </c:pt>
                <c:pt idx="30">
                  <c:v>1948</c:v>
                </c:pt>
                <c:pt idx="31">
                  <c:v>1949</c:v>
                </c:pt>
                <c:pt idx="32">
                  <c:v>1950</c:v>
                </c:pt>
                <c:pt idx="33">
                  <c:v>1951</c:v>
                </c:pt>
                <c:pt idx="34">
                  <c:v>1952</c:v>
                </c:pt>
                <c:pt idx="35">
                  <c:v>1953</c:v>
                </c:pt>
                <c:pt idx="36">
                  <c:v>1954</c:v>
                </c:pt>
                <c:pt idx="37">
                  <c:v>1955</c:v>
                </c:pt>
                <c:pt idx="38">
                  <c:v>1956</c:v>
                </c:pt>
                <c:pt idx="39">
                  <c:v>1957</c:v>
                </c:pt>
                <c:pt idx="40">
                  <c:v>1958</c:v>
                </c:pt>
                <c:pt idx="41">
                  <c:v>1959</c:v>
                </c:pt>
                <c:pt idx="42">
                  <c:v>1960</c:v>
                </c:pt>
                <c:pt idx="43">
                  <c:v>1961</c:v>
                </c:pt>
                <c:pt idx="44">
                  <c:v>1962</c:v>
                </c:pt>
                <c:pt idx="45">
                  <c:v>1963</c:v>
                </c:pt>
                <c:pt idx="46">
                  <c:v>1964</c:v>
                </c:pt>
                <c:pt idx="47">
                  <c:v>1965</c:v>
                </c:pt>
                <c:pt idx="48">
                  <c:v>1966</c:v>
                </c:pt>
                <c:pt idx="49">
                  <c:v>1967</c:v>
                </c:pt>
                <c:pt idx="50">
                  <c:v>1968</c:v>
                </c:pt>
                <c:pt idx="51">
                  <c:v>1969</c:v>
                </c:pt>
                <c:pt idx="52">
                  <c:v>1970</c:v>
                </c:pt>
                <c:pt idx="53">
                  <c:v>1971</c:v>
                </c:pt>
                <c:pt idx="54">
                  <c:v>1972</c:v>
                </c:pt>
                <c:pt idx="55">
                  <c:v>1973</c:v>
                </c:pt>
                <c:pt idx="56">
                  <c:v>1974</c:v>
                </c:pt>
                <c:pt idx="57">
                  <c:v>1975</c:v>
                </c:pt>
                <c:pt idx="58">
                  <c:v>1976</c:v>
                </c:pt>
                <c:pt idx="59">
                  <c:v>1977</c:v>
                </c:pt>
                <c:pt idx="60">
                  <c:v>1978</c:v>
                </c:pt>
                <c:pt idx="61">
                  <c:v>1979</c:v>
                </c:pt>
                <c:pt idx="62">
                  <c:v>1980</c:v>
                </c:pt>
                <c:pt idx="63">
                  <c:v>1981</c:v>
                </c:pt>
                <c:pt idx="64">
                  <c:v>1982</c:v>
                </c:pt>
                <c:pt idx="65">
                  <c:v>1983</c:v>
                </c:pt>
                <c:pt idx="66">
                  <c:v>1984</c:v>
                </c:pt>
                <c:pt idx="67">
                  <c:v>1985</c:v>
                </c:pt>
                <c:pt idx="68">
                  <c:v>1986</c:v>
                </c:pt>
                <c:pt idx="69">
                  <c:v>1987</c:v>
                </c:pt>
                <c:pt idx="70">
                  <c:v>1988</c:v>
                </c:pt>
                <c:pt idx="71">
                  <c:v>1989</c:v>
                </c:pt>
                <c:pt idx="72">
                  <c:v>1990</c:v>
                </c:pt>
                <c:pt idx="73">
                  <c:v>1991</c:v>
                </c:pt>
                <c:pt idx="74">
                  <c:v>1992</c:v>
                </c:pt>
                <c:pt idx="75">
                  <c:v>1993</c:v>
                </c:pt>
                <c:pt idx="76">
                  <c:v>1994</c:v>
                </c:pt>
                <c:pt idx="77">
                  <c:v>1995</c:v>
                </c:pt>
                <c:pt idx="78">
                  <c:v>1996</c:v>
                </c:pt>
                <c:pt idx="79">
                  <c:v>1997</c:v>
                </c:pt>
                <c:pt idx="80">
                  <c:v>1998</c:v>
                </c:pt>
                <c:pt idx="81">
                  <c:v>1999</c:v>
                </c:pt>
                <c:pt idx="82">
                  <c:v>2000</c:v>
                </c:pt>
                <c:pt idx="83">
                  <c:v>2001</c:v>
                </c:pt>
                <c:pt idx="84">
                  <c:v>2002</c:v>
                </c:pt>
                <c:pt idx="85">
                  <c:v>2003</c:v>
                </c:pt>
                <c:pt idx="86">
                  <c:v>2004</c:v>
                </c:pt>
                <c:pt idx="87">
                  <c:v>2005</c:v>
                </c:pt>
                <c:pt idx="88">
                  <c:v>2006</c:v>
                </c:pt>
                <c:pt idx="89">
                  <c:v>2007</c:v>
                </c:pt>
                <c:pt idx="90">
                  <c:v>2008</c:v>
                </c:pt>
              </c:numCache>
            </c:numRef>
          </c:cat>
          <c:val>
            <c:numRef>
              <c:f>'HD diagram'!$C$37:$CO$37</c:f>
              <c:numCache>
                <c:formatCode>0.000_);[Red]\(0.000\)</c:formatCode>
                <c:ptCount val="91"/>
                <c:pt idx="0">
                  <c:v>0</c:v>
                </c:pt>
                <c:pt idx="1">
                  <c:v>0</c:v>
                </c:pt>
                <c:pt idx="2">
                  <c:v>0</c:v>
                </c:pt>
                <c:pt idx="3">
                  <c:v>0</c:v>
                </c:pt>
                <c:pt idx="4">
                  <c:v>0</c:v>
                </c:pt>
                <c:pt idx="5">
                  <c:v>0</c:v>
                </c:pt>
                <c:pt idx="6">
                  <c:v>0</c:v>
                </c:pt>
                <c:pt idx="7">
                  <c:v>0</c:v>
                </c:pt>
                <c:pt idx="8">
                  <c:v>7.7823781179775814E-2</c:v>
                </c:pt>
                <c:pt idx="9">
                  <c:v>0.11883107238084302</c:v>
                </c:pt>
                <c:pt idx="10">
                  <c:v>0.10858969075441302</c:v>
                </c:pt>
                <c:pt idx="11">
                  <c:v>0.10142890735057</c:v>
                </c:pt>
                <c:pt idx="12">
                  <c:v>9.9078656958499545E-2</c:v>
                </c:pt>
                <c:pt idx="13">
                  <c:v>9.319737065535473E-2</c:v>
                </c:pt>
                <c:pt idx="14">
                  <c:v>0.11604448195743203</c:v>
                </c:pt>
                <c:pt idx="15">
                  <c:v>0.13731662476710799</c:v>
                </c:pt>
                <c:pt idx="16">
                  <c:v>0.14431673668038406</c:v>
                </c:pt>
                <c:pt idx="17">
                  <c:v>0.13809303117971305</c:v>
                </c:pt>
                <c:pt idx="18">
                  <c:v>0.12712743251964501</c:v>
                </c:pt>
                <c:pt idx="19">
                  <c:v>0.14487330455013606</c:v>
                </c:pt>
                <c:pt idx="20">
                  <c:v>0.15888208514835606</c:v>
                </c:pt>
                <c:pt idx="21">
                  <c:v>0.147923962368779</c:v>
                </c:pt>
                <c:pt idx="22">
                  <c:v>0.13986740688768506</c:v>
                </c:pt>
                <c:pt idx="23">
                  <c:v>0.142273747399802</c:v>
                </c:pt>
                <c:pt idx="24">
                  <c:v>0.123902397715031</c:v>
                </c:pt>
                <c:pt idx="25">
                  <c:v>0.11103927125852303</c:v>
                </c:pt>
                <c:pt idx="26">
                  <c:v>9.9303590461586697E-2</c:v>
                </c:pt>
                <c:pt idx="27">
                  <c:v>9.111233542967169E-2</c:v>
                </c:pt>
                <c:pt idx="28">
                  <c:v>8.451980775165123E-2</c:v>
                </c:pt>
                <c:pt idx="29">
                  <c:v>7.9607533215902804E-2</c:v>
                </c:pt>
                <c:pt idx="30">
                  <c:v>6.8186036946031148E-2</c:v>
                </c:pt>
                <c:pt idx="31">
                  <c:v>0.12566692415867395</c:v>
                </c:pt>
                <c:pt idx="32">
                  <c:v>0.10609978157676003</c:v>
                </c:pt>
                <c:pt idx="33">
                  <c:v>9.5879033116814005E-2</c:v>
                </c:pt>
                <c:pt idx="34">
                  <c:v>9.4709677419354779E-2</c:v>
                </c:pt>
                <c:pt idx="35">
                  <c:v>9.4154170122945247E-2</c:v>
                </c:pt>
                <c:pt idx="36">
                  <c:v>9.5264790233473728E-2</c:v>
                </c:pt>
                <c:pt idx="37">
                  <c:v>9.6626030231804702E-2</c:v>
                </c:pt>
                <c:pt idx="38">
                  <c:v>9.5108626603989305E-2</c:v>
                </c:pt>
                <c:pt idx="39">
                  <c:v>9.2995683453237429E-2</c:v>
                </c:pt>
                <c:pt idx="40">
                  <c:v>0.101336783324543</c:v>
                </c:pt>
                <c:pt idx="41">
                  <c:v>0.10449917752642003</c:v>
                </c:pt>
                <c:pt idx="42">
                  <c:v>0.10348415142500303</c:v>
                </c:pt>
                <c:pt idx="43">
                  <c:v>0.10586584443876502</c:v>
                </c:pt>
                <c:pt idx="44">
                  <c:v>0.11306880971335</c:v>
                </c:pt>
                <c:pt idx="45">
                  <c:v>0.115123335177452</c:v>
                </c:pt>
                <c:pt idx="46">
                  <c:v>0.11428710515742797</c:v>
                </c:pt>
                <c:pt idx="47">
                  <c:v>0.11298516269450197</c:v>
                </c:pt>
                <c:pt idx="48">
                  <c:v>0.12492062072374703</c:v>
                </c:pt>
                <c:pt idx="49">
                  <c:v>0.16193518933914999</c:v>
                </c:pt>
                <c:pt idx="50">
                  <c:v>0.182189174830717</c:v>
                </c:pt>
                <c:pt idx="51">
                  <c:v>0.18630984148708007</c:v>
                </c:pt>
                <c:pt idx="52">
                  <c:v>0.19712815804054096</c:v>
                </c:pt>
                <c:pt idx="53">
                  <c:v>0.190274335978693</c:v>
                </c:pt>
                <c:pt idx="54">
                  <c:v>0.17524983536503211</c:v>
                </c:pt>
                <c:pt idx="55">
                  <c:v>0.15141968540045711</c:v>
                </c:pt>
                <c:pt idx="56">
                  <c:v>0.15258302285066105</c:v>
                </c:pt>
                <c:pt idx="57">
                  <c:v>0.15375567389982606</c:v>
                </c:pt>
                <c:pt idx="58">
                  <c:v>0.15294359473808206</c:v>
                </c:pt>
                <c:pt idx="59">
                  <c:v>0.13666275118221899</c:v>
                </c:pt>
                <c:pt idx="60">
                  <c:v>0.12400371261694303</c:v>
                </c:pt>
                <c:pt idx="61">
                  <c:v>0.123781289149323</c:v>
                </c:pt>
                <c:pt idx="62">
                  <c:v>0.11054940065501999</c:v>
                </c:pt>
                <c:pt idx="63">
                  <c:v>0.130075276932241</c:v>
                </c:pt>
                <c:pt idx="64">
                  <c:v>0.11724866563861402</c:v>
                </c:pt>
                <c:pt idx="65">
                  <c:v>8.7927687689595482E-2</c:v>
                </c:pt>
                <c:pt idx="66">
                  <c:v>0.100856537817251</c:v>
                </c:pt>
                <c:pt idx="67">
                  <c:v>0.11435801041064197</c:v>
                </c:pt>
                <c:pt idx="68">
                  <c:v>0.11337861953831101</c:v>
                </c:pt>
                <c:pt idx="69">
                  <c:v>0.10649361173389203</c:v>
                </c:pt>
                <c:pt idx="70">
                  <c:v>0.12972958421385494</c:v>
                </c:pt>
                <c:pt idx="71">
                  <c:v>0.19264831348611106</c:v>
                </c:pt>
                <c:pt idx="72">
                  <c:v>0.15707982259114406</c:v>
                </c:pt>
                <c:pt idx="73">
                  <c:v>0.14894929191414211</c:v>
                </c:pt>
                <c:pt idx="74">
                  <c:v>0.157873691638245</c:v>
                </c:pt>
                <c:pt idx="75">
                  <c:v>0.14991978132986511</c:v>
                </c:pt>
                <c:pt idx="76">
                  <c:v>0.14441965810022112</c:v>
                </c:pt>
                <c:pt idx="77">
                  <c:v>0.10980765860497697</c:v>
                </c:pt>
                <c:pt idx="78">
                  <c:v>0.102023511677327</c:v>
                </c:pt>
                <c:pt idx="79">
                  <c:v>0.10359760159893402</c:v>
                </c:pt>
                <c:pt idx="80">
                  <c:v>9.4764115297425247E-2</c:v>
                </c:pt>
                <c:pt idx="81">
                  <c:v>0.13127503961362</c:v>
                </c:pt>
                <c:pt idx="82">
                  <c:v>9.02080536912752E-2</c:v>
                </c:pt>
                <c:pt idx="83">
                  <c:v>7.5446659309651234E-2</c:v>
                </c:pt>
                <c:pt idx="84">
                  <c:v>7.0412200938143765E-2</c:v>
                </c:pt>
                <c:pt idx="85">
                  <c:v>5.4768817636190917E-2</c:v>
                </c:pt>
                <c:pt idx="86">
                  <c:v>4.2472446429303104E-2</c:v>
                </c:pt>
                <c:pt idx="87">
                  <c:v>3.8356493148054803E-2</c:v>
                </c:pt>
                <c:pt idx="88">
                  <c:v>3.8111544871355797E-2</c:v>
                </c:pt>
                <c:pt idx="89">
                  <c:v>3.9515536058030001E-2</c:v>
                </c:pt>
                <c:pt idx="90">
                  <c:v>4.1328293547085802E-2</c:v>
                </c:pt>
              </c:numCache>
            </c:numRef>
          </c:val>
        </c:ser>
        <c:marker val="1"/>
        <c:axId val="90522368"/>
        <c:axId val="90523904"/>
      </c:lineChart>
      <c:catAx>
        <c:axId val="90522368"/>
        <c:scaling>
          <c:orientation val="minMax"/>
        </c:scaling>
        <c:axPos val="b"/>
        <c:numFmt formatCode="General" sourceLinked="1"/>
        <c:tickLblPos val="nextTo"/>
        <c:txPr>
          <a:bodyPr/>
          <a:lstStyle/>
          <a:p>
            <a:pPr>
              <a:defRPr lang="en-IN"/>
            </a:pPr>
            <a:endParaRPr lang="en-US"/>
          </a:p>
        </c:txPr>
        <c:crossAx val="90523904"/>
        <c:crosses val="autoZero"/>
        <c:auto val="1"/>
        <c:lblAlgn val="ctr"/>
        <c:lblOffset val="100"/>
      </c:catAx>
      <c:valAx>
        <c:axId val="90523904"/>
        <c:scaling>
          <c:orientation val="minMax"/>
        </c:scaling>
        <c:axPos val="l"/>
        <c:majorGridlines/>
        <c:numFmt formatCode="0.000_);[Red]\(0.000\)" sourceLinked="1"/>
        <c:tickLblPos val="nextTo"/>
        <c:txPr>
          <a:bodyPr/>
          <a:lstStyle/>
          <a:p>
            <a:pPr>
              <a:defRPr lang="en-IN"/>
            </a:pPr>
            <a:endParaRPr lang="en-US"/>
          </a:p>
        </c:txPr>
        <c:crossAx val="90522368"/>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1"/>
          <c:order val="1"/>
          <c:tx>
            <c:strRef>
              <c:f>'DJIA 24 DebttoTA'!$D$5</c:f>
              <c:strCache>
                <c:ptCount val="1"/>
                <c:pt idx="0">
                  <c:v>AT&amp;T Debt/Total Assets</c:v>
                </c:pt>
              </c:strCache>
            </c:strRef>
          </c:tx>
          <c:spPr>
            <a:ln w="19050">
              <a:solidFill>
                <a:sysClr val="windowText" lastClr="000000"/>
              </a:solidFill>
            </a:ln>
          </c:spPr>
          <c:marker>
            <c:symbol val="none"/>
          </c:marker>
          <c:cat>
            <c:numRef>
              <c:f>'DJIA 24 DebttoTA'!$E$4:$CW$4</c:f>
              <c:numCache>
                <c:formatCode>General</c:formatCode>
                <c:ptCount val="97"/>
                <c:pt idx="0">
                  <c:v>1908</c:v>
                </c:pt>
                <c:pt idx="1">
                  <c:v>1909</c:v>
                </c:pt>
                <c:pt idx="2">
                  <c:v>1910</c:v>
                </c:pt>
                <c:pt idx="3">
                  <c:v>1911</c:v>
                </c:pt>
                <c:pt idx="4">
                  <c:v>1912</c:v>
                </c:pt>
                <c:pt idx="5">
                  <c:v>1913</c:v>
                </c:pt>
                <c:pt idx="6">
                  <c:v>1914</c:v>
                </c:pt>
                <c:pt idx="7">
                  <c:v>1915</c:v>
                </c:pt>
                <c:pt idx="8">
                  <c:v>1916</c:v>
                </c:pt>
                <c:pt idx="9">
                  <c:v>1917</c:v>
                </c:pt>
                <c:pt idx="10">
                  <c:v>1918</c:v>
                </c:pt>
                <c:pt idx="11">
                  <c:v>1919</c:v>
                </c:pt>
                <c:pt idx="12">
                  <c:v>1920</c:v>
                </c:pt>
                <c:pt idx="13">
                  <c:v>1921</c:v>
                </c:pt>
                <c:pt idx="14">
                  <c:v>1922</c:v>
                </c:pt>
                <c:pt idx="15">
                  <c:v>1923</c:v>
                </c:pt>
                <c:pt idx="16">
                  <c:v>1924</c:v>
                </c:pt>
                <c:pt idx="17">
                  <c:v>1925</c:v>
                </c:pt>
                <c:pt idx="18">
                  <c:v>1926</c:v>
                </c:pt>
                <c:pt idx="19">
                  <c:v>1927</c:v>
                </c:pt>
                <c:pt idx="20">
                  <c:v>1928</c:v>
                </c:pt>
                <c:pt idx="21">
                  <c:v>1929</c:v>
                </c:pt>
                <c:pt idx="22">
                  <c:v>1930</c:v>
                </c:pt>
                <c:pt idx="23">
                  <c:v>1931</c:v>
                </c:pt>
                <c:pt idx="24">
                  <c:v>1932</c:v>
                </c:pt>
                <c:pt idx="25">
                  <c:v>1933</c:v>
                </c:pt>
                <c:pt idx="26">
                  <c:v>1934</c:v>
                </c:pt>
                <c:pt idx="27">
                  <c:v>1935</c:v>
                </c:pt>
                <c:pt idx="28">
                  <c:v>1936</c:v>
                </c:pt>
                <c:pt idx="29">
                  <c:v>1937</c:v>
                </c:pt>
                <c:pt idx="30">
                  <c:v>1938</c:v>
                </c:pt>
                <c:pt idx="31">
                  <c:v>1939</c:v>
                </c:pt>
                <c:pt idx="32">
                  <c:v>1940</c:v>
                </c:pt>
                <c:pt idx="33">
                  <c:v>1941</c:v>
                </c:pt>
                <c:pt idx="34">
                  <c:v>1942</c:v>
                </c:pt>
                <c:pt idx="35">
                  <c:v>1943</c:v>
                </c:pt>
                <c:pt idx="36">
                  <c:v>1944</c:v>
                </c:pt>
                <c:pt idx="37">
                  <c:v>1945</c:v>
                </c:pt>
                <c:pt idx="38">
                  <c:v>1946</c:v>
                </c:pt>
                <c:pt idx="39">
                  <c:v>1947</c:v>
                </c:pt>
                <c:pt idx="40">
                  <c:v>1948</c:v>
                </c:pt>
                <c:pt idx="41">
                  <c:v>1949</c:v>
                </c:pt>
                <c:pt idx="42">
                  <c:v>1950</c:v>
                </c:pt>
                <c:pt idx="43">
                  <c:v>1951</c:v>
                </c:pt>
                <c:pt idx="44">
                  <c:v>1952</c:v>
                </c:pt>
                <c:pt idx="45">
                  <c:v>1953</c:v>
                </c:pt>
                <c:pt idx="46">
                  <c:v>1954</c:v>
                </c:pt>
                <c:pt idx="47">
                  <c:v>1955</c:v>
                </c:pt>
                <c:pt idx="48">
                  <c:v>1956</c:v>
                </c:pt>
                <c:pt idx="49">
                  <c:v>1957</c:v>
                </c:pt>
                <c:pt idx="50">
                  <c:v>1958</c:v>
                </c:pt>
                <c:pt idx="51">
                  <c:v>1959</c:v>
                </c:pt>
                <c:pt idx="52">
                  <c:v>1960</c:v>
                </c:pt>
                <c:pt idx="53">
                  <c:v>1961</c:v>
                </c:pt>
                <c:pt idx="54">
                  <c:v>1962</c:v>
                </c:pt>
                <c:pt idx="55">
                  <c:v>1963</c:v>
                </c:pt>
                <c:pt idx="56">
                  <c:v>1964</c:v>
                </c:pt>
                <c:pt idx="57">
                  <c:v>1965</c:v>
                </c:pt>
                <c:pt idx="58">
                  <c:v>1966</c:v>
                </c:pt>
                <c:pt idx="59">
                  <c:v>1967</c:v>
                </c:pt>
                <c:pt idx="60">
                  <c:v>1968</c:v>
                </c:pt>
                <c:pt idx="61">
                  <c:v>1969</c:v>
                </c:pt>
                <c:pt idx="62">
                  <c:v>1970</c:v>
                </c:pt>
                <c:pt idx="63">
                  <c:v>1971</c:v>
                </c:pt>
                <c:pt idx="64">
                  <c:v>1972</c:v>
                </c:pt>
                <c:pt idx="65">
                  <c:v>1973</c:v>
                </c:pt>
                <c:pt idx="66">
                  <c:v>1974</c:v>
                </c:pt>
                <c:pt idx="67">
                  <c:v>1975</c:v>
                </c:pt>
                <c:pt idx="68">
                  <c:v>1976</c:v>
                </c:pt>
                <c:pt idx="69">
                  <c:v>1977</c:v>
                </c:pt>
                <c:pt idx="70">
                  <c:v>1978</c:v>
                </c:pt>
                <c:pt idx="71">
                  <c:v>1979</c:v>
                </c:pt>
                <c:pt idx="72">
                  <c:v>1980</c:v>
                </c:pt>
                <c:pt idx="73">
                  <c:v>1981</c:v>
                </c:pt>
                <c:pt idx="74">
                  <c:v>1982</c:v>
                </c:pt>
                <c:pt idx="75">
                  <c:v>1983</c:v>
                </c:pt>
                <c:pt idx="76">
                  <c:v>1984</c:v>
                </c:pt>
                <c:pt idx="77">
                  <c:v>1985</c:v>
                </c:pt>
                <c:pt idx="78">
                  <c:v>1986</c:v>
                </c:pt>
                <c:pt idx="79">
                  <c:v>1987</c:v>
                </c:pt>
                <c:pt idx="80">
                  <c:v>1988</c:v>
                </c:pt>
                <c:pt idx="81">
                  <c:v>1989</c:v>
                </c:pt>
                <c:pt idx="82">
                  <c:v>1990</c:v>
                </c:pt>
                <c:pt idx="83">
                  <c:v>1991</c:v>
                </c:pt>
                <c:pt idx="84">
                  <c:v>1992</c:v>
                </c:pt>
                <c:pt idx="85">
                  <c:v>1993</c:v>
                </c:pt>
                <c:pt idx="86">
                  <c:v>1994</c:v>
                </c:pt>
                <c:pt idx="87">
                  <c:v>1995</c:v>
                </c:pt>
                <c:pt idx="88">
                  <c:v>1996</c:v>
                </c:pt>
                <c:pt idx="89">
                  <c:v>1997</c:v>
                </c:pt>
                <c:pt idx="90">
                  <c:v>1998</c:v>
                </c:pt>
                <c:pt idx="91">
                  <c:v>1999</c:v>
                </c:pt>
                <c:pt idx="92">
                  <c:v>2000</c:v>
                </c:pt>
                <c:pt idx="93">
                  <c:v>2001</c:v>
                </c:pt>
                <c:pt idx="94">
                  <c:v>2002</c:v>
                </c:pt>
                <c:pt idx="95">
                  <c:v>2003</c:v>
                </c:pt>
                <c:pt idx="96">
                  <c:v>2004</c:v>
                </c:pt>
              </c:numCache>
            </c:numRef>
          </c:cat>
          <c:val>
            <c:numRef>
              <c:f>'DJIA 24 DebttoTA'!$E$5:$CW$5</c:f>
              <c:numCache>
                <c:formatCode>0.000</c:formatCode>
                <c:ptCount val="97"/>
                <c:pt idx="0">
                  <c:v>0.48754949379780721</c:v>
                </c:pt>
                <c:pt idx="1">
                  <c:v>0.38938587072841829</c:v>
                </c:pt>
                <c:pt idx="2">
                  <c:v>0.42452287560542623</c:v>
                </c:pt>
                <c:pt idx="3">
                  <c:v>0.4057975105018799</c:v>
                </c:pt>
                <c:pt idx="4">
                  <c:v>0.43050659407023911</c:v>
                </c:pt>
                <c:pt idx="5">
                  <c:v>0.45757836421049114</c:v>
                </c:pt>
                <c:pt idx="6">
                  <c:v>0.47033867278750313</c:v>
                </c:pt>
                <c:pt idx="7">
                  <c:v>0.40211756120579012</c:v>
                </c:pt>
                <c:pt idx="8">
                  <c:v>0.4253630454197781</c:v>
                </c:pt>
                <c:pt idx="9">
                  <c:v>0.38604231247232401</c:v>
                </c:pt>
                <c:pt idx="10">
                  <c:v>0.41421899859350297</c:v>
                </c:pt>
                <c:pt idx="11">
                  <c:v>0.4283888243268833</c:v>
                </c:pt>
                <c:pt idx="12">
                  <c:v>0.43617542402598197</c:v>
                </c:pt>
                <c:pt idx="13">
                  <c:v>0.42068705759977498</c:v>
                </c:pt>
                <c:pt idx="14">
                  <c:v>0.35757652986308414</c:v>
                </c:pt>
                <c:pt idx="15">
                  <c:v>0.37524155820119975</c:v>
                </c:pt>
                <c:pt idx="16">
                  <c:v>0.33812247401385026</c:v>
                </c:pt>
                <c:pt idx="17">
                  <c:v>0.36275905351349191</c:v>
                </c:pt>
                <c:pt idx="18">
                  <c:v>0.341211420127707</c:v>
                </c:pt>
                <c:pt idx="19">
                  <c:v>0.32443106518257014</c:v>
                </c:pt>
                <c:pt idx="20">
                  <c:v>0.30388617244758914</c:v>
                </c:pt>
                <c:pt idx="21">
                  <c:v>0.32557699521254735</c:v>
                </c:pt>
                <c:pt idx="22">
                  <c:v>0.26209329687053889</c:v>
                </c:pt>
                <c:pt idx="23">
                  <c:v>0.24925022538148006</c:v>
                </c:pt>
                <c:pt idx="24">
                  <c:v>0.25591250904788715</c:v>
                </c:pt>
                <c:pt idx="25">
                  <c:v>0.25835734205935601</c:v>
                </c:pt>
                <c:pt idx="26">
                  <c:v>0.25909351934200198</c:v>
                </c:pt>
                <c:pt idx="27">
                  <c:v>0.26971234807013089</c:v>
                </c:pt>
                <c:pt idx="28">
                  <c:v>0.24648405530303699</c:v>
                </c:pt>
                <c:pt idx="29">
                  <c:v>0.26196731579932198</c:v>
                </c:pt>
                <c:pt idx="30">
                  <c:v>0.27832577379938722</c:v>
                </c:pt>
                <c:pt idx="31">
                  <c:v>0.28058251712947829</c:v>
                </c:pt>
                <c:pt idx="32">
                  <c:v>0.29923990552190799</c:v>
                </c:pt>
                <c:pt idx="33">
                  <c:v>0.33287520562731021</c:v>
                </c:pt>
                <c:pt idx="34">
                  <c:v>0.33073622287065313</c:v>
                </c:pt>
                <c:pt idx="35">
                  <c:v>0.32010580624306012</c:v>
                </c:pt>
                <c:pt idx="36">
                  <c:v>0.29414773090425611</c:v>
                </c:pt>
                <c:pt idx="37">
                  <c:v>0.26915164366537903</c:v>
                </c:pt>
                <c:pt idx="38">
                  <c:v>0.3403684282380241</c:v>
                </c:pt>
                <c:pt idx="39">
                  <c:v>0.43165495989083813</c:v>
                </c:pt>
                <c:pt idx="40">
                  <c:v>0.4559255067434631</c:v>
                </c:pt>
                <c:pt idx="41">
                  <c:v>0.46357257095831012</c:v>
                </c:pt>
                <c:pt idx="42">
                  <c:v>0.42137957813754923</c:v>
                </c:pt>
                <c:pt idx="43">
                  <c:v>0.39088620601079122</c:v>
                </c:pt>
                <c:pt idx="44">
                  <c:v>0.35651146973108711</c:v>
                </c:pt>
                <c:pt idx="45">
                  <c:v>0.35862414982620211</c:v>
                </c:pt>
                <c:pt idx="46">
                  <c:v>0.31873938780030298</c:v>
                </c:pt>
                <c:pt idx="47">
                  <c:v>0.31269134681777799</c:v>
                </c:pt>
                <c:pt idx="48">
                  <c:v>0.29148523335989923</c:v>
                </c:pt>
                <c:pt idx="49">
                  <c:v>0.32605686490554936</c:v>
                </c:pt>
                <c:pt idx="50">
                  <c:v>0.315235816148559</c:v>
                </c:pt>
                <c:pt idx="51">
                  <c:v>0.31370562791368412</c:v>
                </c:pt>
                <c:pt idx="52">
                  <c:v>0.3224639696870783</c:v>
                </c:pt>
                <c:pt idx="53">
                  <c:v>0.2970488382855701</c:v>
                </c:pt>
                <c:pt idx="54">
                  <c:v>0.31374498905171111</c:v>
                </c:pt>
                <c:pt idx="55">
                  <c:v>0.30665638562589315</c:v>
                </c:pt>
                <c:pt idx="56">
                  <c:v>0.28560522795726911</c:v>
                </c:pt>
                <c:pt idx="57">
                  <c:v>0.28566031822285515</c:v>
                </c:pt>
                <c:pt idx="58">
                  <c:v>0.29870836741481521</c:v>
                </c:pt>
                <c:pt idx="59">
                  <c:v>0.31644948622228425</c:v>
                </c:pt>
                <c:pt idx="60">
                  <c:v>0.33448807454136914</c:v>
                </c:pt>
                <c:pt idx="61">
                  <c:v>0.36143301322380611</c:v>
                </c:pt>
                <c:pt idx="62">
                  <c:v>0.41202687267709714</c:v>
                </c:pt>
                <c:pt idx="63">
                  <c:v>0.41850021425207012</c:v>
                </c:pt>
                <c:pt idx="64">
                  <c:v>0.42918954226804312</c:v>
                </c:pt>
                <c:pt idx="65">
                  <c:v>0.42311910849198586</c:v>
                </c:pt>
                <c:pt idx="66">
                  <c:v>0.43632168649072212</c:v>
                </c:pt>
                <c:pt idx="67">
                  <c:v>0.42444745501120901</c:v>
                </c:pt>
                <c:pt idx="68">
                  <c:v>0.40356527555150701</c:v>
                </c:pt>
                <c:pt idx="69">
                  <c:v>0.38041395822347113</c:v>
                </c:pt>
                <c:pt idx="70">
                  <c:v>0.37040788951581222</c:v>
                </c:pt>
                <c:pt idx="71">
                  <c:v>0.36566391547785715</c:v>
                </c:pt>
                <c:pt idx="72">
                  <c:v>0.363465520402388</c:v>
                </c:pt>
                <c:pt idx="73">
                  <c:v>0.34770243920145211</c:v>
                </c:pt>
                <c:pt idx="74">
                  <c:v>0.31818343287107298</c:v>
                </c:pt>
                <c:pt idx="75">
                  <c:v>0.31510607904768723</c:v>
                </c:pt>
                <c:pt idx="76">
                  <c:v>0.24023183350829311</c:v>
                </c:pt>
                <c:pt idx="77">
                  <c:v>0.23099199539710707</c:v>
                </c:pt>
                <c:pt idx="78">
                  <c:v>0.21833698361150999</c:v>
                </c:pt>
                <c:pt idx="79">
                  <c:v>0.22592658272743507</c:v>
                </c:pt>
                <c:pt idx="80">
                  <c:v>0.26362653618570808</c:v>
                </c:pt>
                <c:pt idx="81">
                  <c:v>0.28046806591132412</c:v>
                </c:pt>
                <c:pt idx="82">
                  <c:v>0.31803540833809202</c:v>
                </c:pt>
                <c:pt idx="83">
                  <c:v>0.29120044981726312</c:v>
                </c:pt>
                <c:pt idx="84">
                  <c:v>0.28334615653633488</c:v>
                </c:pt>
                <c:pt idx="85">
                  <c:v>0.29154461376427915</c:v>
                </c:pt>
                <c:pt idx="86">
                  <c:v>0.3157124473265881</c:v>
                </c:pt>
                <c:pt idx="87">
                  <c:v>0.3175374645605511</c:v>
                </c:pt>
                <c:pt idx="88">
                  <c:v>0.18618591589861697</c:v>
                </c:pt>
                <c:pt idx="89">
                  <c:v>0.18459964185213812</c:v>
                </c:pt>
                <c:pt idx="90">
                  <c:v>0.11296389588581</c:v>
                </c:pt>
                <c:pt idx="91">
                  <c:v>0.23936578397459399</c:v>
                </c:pt>
                <c:pt idx="92">
                  <c:v>0.28795366253411098</c:v>
                </c:pt>
                <c:pt idx="93">
                  <c:v>0.35215570963565512</c:v>
                </c:pt>
                <c:pt idx="94">
                  <c:v>0.40841655811260813</c:v>
                </c:pt>
                <c:pt idx="95">
                  <c:v>0.30026256564141213</c:v>
                </c:pt>
                <c:pt idx="96">
                  <c:v>0.32511279112303615</c:v>
                </c:pt>
              </c:numCache>
            </c:numRef>
          </c:val>
        </c:ser>
        <c:ser>
          <c:idx val="0"/>
          <c:order val="0"/>
          <c:tx>
            <c:strRef>
              <c:f>'DJIA 24 DebttoTA'!$D$5</c:f>
              <c:strCache>
                <c:ptCount val="1"/>
                <c:pt idx="0">
                  <c:v>AT&amp;T Debt/Total Assets</c:v>
                </c:pt>
              </c:strCache>
            </c:strRef>
          </c:tx>
          <c:spPr>
            <a:ln w="28575">
              <a:solidFill>
                <a:sysClr val="windowText" lastClr="000000"/>
              </a:solidFill>
            </a:ln>
          </c:spPr>
          <c:marker>
            <c:symbol val="none"/>
          </c:marker>
          <c:cat>
            <c:numRef>
              <c:f>'DJIA 24 DebttoTA'!$E$4:$CW$4</c:f>
              <c:numCache>
                <c:formatCode>General</c:formatCode>
                <c:ptCount val="97"/>
                <c:pt idx="0">
                  <c:v>1908</c:v>
                </c:pt>
                <c:pt idx="1">
                  <c:v>1909</c:v>
                </c:pt>
                <c:pt idx="2">
                  <c:v>1910</c:v>
                </c:pt>
                <c:pt idx="3">
                  <c:v>1911</c:v>
                </c:pt>
                <c:pt idx="4">
                  <c:v>1912</c:v>
                </c:pt>
                <c:pt idx="5">
                  <c:v>1913</c:v>
                </c:pt>
                <c:pt idx="6">
                  <c:v>1914</c:v>
                </c:pt>
                <c:pt idx="7">
                  <c:v>1915</c:v>
                </c:pt>
                <c:pt idx="8">
                  <c:v>1916</c:v>
                </c:pt>
                <c:pt idx="9">
                  <c:v>1917</c:v>
                </c:pt>
                <c:pt idx="10">
                  <c:v>1918</c:v>
                </c:pt>
                <c:pt idx="11">
                  <c:v>1919</c:v>
                </c:pt>
                <c:pt idx="12">
                  <c:v>1920</c:v>
                </c:pt>
                <c:pt idx="13">
                  <c:v>1921</c:v>
                </c:pt>
                <c:pt idx="14">
                  <c:v>1922</c:v>
                </c:pt>
                <c:pt idx="15">
                  <c:v>1923</c:v>
                </c:pt>
                <c:pt idx="16">
                  <c:v>1924</c:v>
                </c:pt>
                <c:pt idx="17">
                  <c:v>1925</c:v>
                </c:pt>
                <c:pt idx="18">
                  <c:v>1926</c:v>
                </c:pt>
                <c:pt idx="19">
                  <c:v>1927</c:v>
                </c:pt>
                <c:pt idx="20">
                  <c:v>1928</c:v>
                </c:pt>
                <c:pt idx="21">
                  <c:v>1929</c:v>
                </c:pt>
                <c:pt idx="22">
                  <c:v>1930</c:v>
                </c:pt>
                <c:pt idx="23">
                  <c:v>1931</c:v>
                </c:pt>
                <c:pt idx="24">
                  <c:v>1932</c:v>
                </c:pt>
                <c:pt idx="25">
                  <c:v>1933</c:v>
                </c:pt>
                <c:pt idx="26">
                  <c:v>1934</c:v>
                </c:pt>
                <c:pt idx="27">
                  <c:v>1935</c:v>
                </c:pt>
                <c:pt idx="28">
                  <c:v>1936</c:v>
                </c:pt>
                <c:pt idx="29">
                  <c:v>1937</c:v>
                </c:pt>
                <c:pt idx="30">
                  <c:v>1938</c:v>
                </c:pt>
                <c:pt idx="31">
                  <c:v>1939</c:v>
                </c:pt>
                <c:pt idx="32">
                  <c:v>1940</c:v>
                </c:pt>
                <c:pt idx="33">
                  <c:v>1941</c:v>
                </c:pt>
                <c:pt idx="34">
                  <c:v>1942</c:v>
                </c:pt>
                <c:pt idx="35">
                  <c:v>1943</c:v>
                </c:pt>
                <c:pt idx="36">
                  <c:v>1944</c:v>
                </c:pt>
                <c:pt idx="37">
                  <c:v>1945</c:v>
                </c:pt>
                <c:pt idx="38">
                  <c:v>1946</c:v>
                </c:pt>
                <c:pt idx="39">
                  <c:v>1947</c:v>
                </c:pt>
                <c:pt idx="40">
                  <c:v>1948</c:v>
                </c:pt>
                <c:pt idx="41">
                  <c:v>1949</c:v>
                </c:pt>
                <c:pt idx="42">
                  <c:v>1950</c:v>
                </c:pt>
                <c:pt idx="43">
                  <c:v>1951</c:v>
                </c:pt>
                <c:pt idx="44">
                  <c:v>1952</c:v>
                </c:pt>
                <c:pt idx="45">
                  <c:v>1953</c:v>
                </c:pt>
                <c:pt idx="46">
                  <c:v>1954</c:v>
                </c:pt>
                <c:pt idx="47">
                  <c:v>1955</c:v>
                </c:pt>
                <c:pt idx="48">
                  <c:v>1956</c:v>
                </c:pt>
                <c:pt idx="49">
                  <c:v>1957</c:v>
                </c:pt>
                <c:pt idx="50">
                  <c:v>1958</c:v>
                </c:pt>
                <c:pt idx="51">
                  <c:v>1959</c:v>
                </c:pt>
                <c:pt idx="52">
                  <c:v>1960</c:v>
                </c:pt>
                <c:pt idx="53">
                  <c:v>1961</c:v>
                </c:pt>
                <c:pt idx="54">
                  <c:v>1962</c:v>
                </c:pt>
                <c:pt idx="55">
                  <c:v>1963</c:v>
                </c:pt>
                <c:pt idx="56">
                  <c:v>1964</c:v>
                </c:pt>
                <c:pt idx="57">
                  <c:v>1965</c:v>
                </c:pt>
                <c:pt idx="58">
                  <c:v>1966</c:v>
                </c:pt>
                <c:pt idx="59">
                  <c:v>1967</c:v>
                </c:pt>
                <c:pt idx="60">
                  <c:v>1968</c:v>
                </c:pt>
                <c:pt idx="61">
                  <c:v>1969</c:v>
                </c:pt>
                <c:pt idx="62">
                  <c:v>1970</c:v>
                </c:pt>
                <c:pt idx="63">
                  <c:v>1971</c:v>
                </c:pt>
                <c:pt idx="64">
                  <c:v>1972</c:v>
                </c:pt>
                <c:pt idx="65">
                  <c:v>1973</c:v>
                </c:pt>
                <c:pt idx="66">
                  <c:v>1974</c:v>
                </c:pt>
                <c:pt idx="67">
                  <c:v>1975</c:v>
                </c:pt>
                <c:pt idx="68">
                  <c:v>1976</c:v>
                </c:pt>
                <c:pt idx="69">
                  <c:v>1977</c:v>
                </c:pt>
                <c:pt idx="70">
                  <c:v>1978</c:v>
                </c:pt>
                <c:pt idx="71">
                  <c:v>1979</c:v>
                </c:pt>
                <c:pt idx="72">
                  <c:v>1980</c:v>
                </c:pt>
                <c:pt idx="73">
                  <c:v>1981</c:v>
                </c:pt>
                <c:pt idx="74">
                  <c:v>1982</c:v>
                </c:pt>
                <c:pt idx="75">
                  <c:v>1983</c:v>
                </c:pt>
                <c:pt idx="76">
                  <c:v>1984</c:v>
                </c:pt>
                <c:pt idx="77">
                  <c:v>1985</c:v>
                </c:pt>
                <c:pt idx="78">
                  <c:v>1986</c:v>
                </c:pt>
                <c:pt idx="79">
                  <c:v>1987</c:v>
                </c:pt>
                <c:pt idx="80">
                  <c:v>1988</c:v>
                </c:pt>
                <c:pt idx="81">
                  <c:v>1989</c:v>
                </c:pt>
                <c:pt idx="82">
                  <c:v>1990</c:v>
                </c:pt>
                <c:pt idx="83">
                  <c:v>1991</c:v>
                </c:pt>
                <c:pt idx="84">
                  <c:v>1992</c:v>
                </c:pt>
                <c:pt idx="85">
                  <c:v>1993</c:v>
                </c:pt>
                <c:pt idx="86">
                  <c:v>1994</c:v>
                </c:pt>
                <c:pt idx="87">
                  <c:v>1995</c:v>
                </c:pt>
                <c:pt idx="88">
                  <c:v>1996</c:v>
                </c:pt>
                <c:pt idx="89">
                  <c:v>1997</c:v>
                </c:pt>
                <c:pt idx="90">
                  <c:v>1998</c:v>
                </c:pt>
                <c:pt idx="91">
                  <c:v>1999</c:v>
                </c:pt>
                <c:pt idx="92">
                  <c:v>2000</c:v>
                </c:pt>
                <c:pt idx="93">
                  <c:v>2001</c:v>
                </c:pt>
                <c:pt idx="94">
                  <c:v>2002</c:v>
                </c:pt>
                <c:pt idx="95">
                  <c:v>2003</c:v>
                </c:pt>
                <c:pt idx="96">
                  <c:v>2004</c:v>
                </c:pt>
              </c:numCache>
            </c:numRef>
          </c:cat>
          <c:val>
            <c:numRef>
              <c:f>'DJIA 24 DebttoTA'!$E$5:$CW$5</c:f>
              <c:numCache>
                <c:formatCode>0.000</c:formatCode>
                <c:ptCount val="97"/>
                <c:pt idx="0">
                  <c:v>0.48754949379780721</c:v>
                </c:pt>
                <c:pt idx="1">
                  <c:v>0.38938587072841829</c:v>
                </c:pt>
                <c:pt idx="2">
                  <c:v>0.42452287560542623</c:v>
                </c:pt>
                <c:pt idx="3">
                  <c:v>0.4057975105018799</c:v>
                </c:pt>
                <c:pt idx="4">
                  <c:v>0.43050659407023911</c:v>
                </c:pt>
                <c:pt idx="5">
                  <c:v>0.45757836421049114</c:v>
                </c:pt>
                <c:pt idx="6">
                  <c:v>0.47033867278750313</c:v>
                </c:pt>
                <c:pt idx="7">
                  <c:v>0.40211756120579012</c:v>
                </c:pt>
                <c:pt idx="8">
                  <c:v>0.4253630454197781</c:v>
                </c:pt>
                <c:pt idx="9">
                  <c:v>0.38604231247232401</c:v>
                </c:pt>
                <c:pt idx="10">
                  <c:v>0.41421899859350297</c:v>
                </c:pt>
                <c:pt idx="11">
                  <c:v>0.4283888243268833</c:v>
                </c:pt>
                <c:pt idx="12">
                  <c:v>0.43617542402598197</c:v>
                </c:pt>
                <c:pt idx="13">
                  <c:v>0.42068705759977498</c:v>
                </c:pt>
                <c:pt idx="14">
                  <c:v>0.35757652986308414</c:v>
                </c:pt>
                <c:pt idx="15">
                  <c:v>0.37524155820119975</c:v>
                </c:pt>
                <c:pt idx="16">
                  <c:v>0.33812247401385026</c:v>
                </c:pt>
                <c:pt idx="17">
                  <c:v>0.36275905351349191</c:v>
                </c:pt>
                <c:pt idx="18">
                  <c:v>0.341211420127707</c:v>
                </c:pt>
                <c:pt idx="19">
                  <c:v>0.32443106518257014</c:v>
                </c:pt>
                <c:pt idx="20">
                  <c:v>0.30388617244758914</c:v>
                </c:pt>
                <c:pt idx="21">
                  <c:v>0.32557699521254735</c:v>
                </c:pt>
                <c:pt idx="22">
                  <c:v>0.26209329687053889</c:v>
                </c:pt>
                <c:pt idx="23">
                  <c:v>0.24925022538148006</c:v>
                </c:pt>
                <c:pt idx="24">
                  <c:v>0.25591250904788715</c:v>
                </c:pt>
                <c:pt idx="25">
                  <c:v>0.25835734205935601</c:v>
                </c:pt>
                <c:pt idx="26">
                  <c:v>0.25909351934200198</c:v>
                </c:pt>
                <c:pt idx="27">
                  <c:v>0.26971234807013089</c:v>
                </c:pt>
                <c:pt idx="28">
                  <c:v>0.24648405530303699</c:v>
                </c:pt>
                <c:pt idx="29">
                  <c:v>0.26196731579932198</c:v>
                </c:pt>
                <c:pt idx="30">
                  <c:v>0.27832577379938722</c:v>
                </c:pt>
                <c:pt idx="31">
                  <c:v>0.28058251712947829</c:v>
                </c:pt>
                <c:pt idx="32">
                  <c:v>0.29923990552190799</c:v>
                </c:pt>
                <c:pt idx="33">
                  <c:v>0.33287520562731021</c:v>
                </c:pt>
                <c:pt idx="34">
                  <c:v>0.33073622287065313</c:v>
                </c:pt>
                <c:pt idx="35">
                  <c:v>0.32010580624306012</c:v>
                </c:pt>
                <c:pt idx="36">
                  <c:v>0.29414773090425611</c:v>
                </c:pt>
                <c:pt idx="37">
                  <c:v>0.26915164366537903</c:v>
                </c:pt>
                <c:pt idx="38">
                  <c:v>0.3403684282380241</c:v>
                </c:pt>
                <c:pt idx="39">
                  <c:v>0.43165495989083813</c:v>
                </c:pt>
                <c:pt idx="40">
                  <c:v>0.4559255067434631</c:v>
                </c:pt>
                <c:pt idx="41">
                  <c:v>0.46357257095831012</c:v>
                </c:pt>
                <c:pt idx="42">
                  <c:v>0.42137957813754923</c:v>
                </c:pt>
                <c:pt idx="43">
                  <c:v>0.39088620601079122</c:v>
                </c:pt>
                <c:pt idx="44">
                  <c:v>0.35651146973108711</c:v>
                </c:pt>
                <c:pt idx="45">
                  <c:v>0.35862414982620211</c:v>
                </c:pt>
                <c:pt idx="46">
                  <c:v>0.31873938780030298</c:v>
                </c:pt>
                <c:pt idx="47">
                  <c:v>0.31269134681777799</c:v>
                </c:pt>
                <c:pt idx="48">
                  <c:v>0.29148523335989923</c:v>
                </c:pt>
                <c:pt idx="49">
                  <c:v>0.32605686490554936</c:v>
                </c:pt>
                <c:pt idx="50">
                  <c:v>0.315235816148559</c:v>
                </c:pt>
                <c:pt idx="51">
                  <c:v>0.31370562791368412</c:v>
                </c:pt>
                <c:pt idx="52">
                  <c:v>0.3224639696870783</c:v>
                </c:pt>
                <c:pt idx="53">
                  <c:v>0.2970488382855701</c:v>
                </c:pt>
                <c:pt idx="54">
                  <c:v>0.31374498905171111</c:v>
                </c:pt>
                <c:pt idx="55">
                  <c:v>0.30665638562589315</c:v>
                </c:pt>
                <c:pt idx="56">
                  <c:v>0.28560522795726911</c:v>
                </c:pt>
                <c:pt idx="57">
                  <c:v>0.28566031822285515</c:v>
                </c:pt>
                <c:pt idx="58">
                  <c:v>0.29870836741481521</c:v>
                </c:pt>
                <c:pt idx="59">
                  <c:v>0.31644948622228425</c:v>
                </c:pt>
                <c:pt idx="60">
                  <c:v>0.33448807454136914</c:v>
                </c:pt>
                <c:pt idx="61">
                  <c:v>0.36143301322380611</c:v>
                </c:pt>
                <c:pt idx="62">
                  <c:v>0.41202687267709714</c:v>
                </c:pt>
                <c:pt idx="63">
                  <c:v>0.41850021425207012</c:v>
                </c:pt>
                <c:pt idx="64">
                  <c:v>0.42918954226804312</c:v>
                </c:pt>
                <c:pt idx="65">
                  <c:v>0.42311910849198586</c:v>
                </c:pt>
                <c:pt idx="66">
                  <c:v>0.43632168649072212</c:v>
                </c:pt>
                <c:pt idx="67">
                  <c:v>0.42444745501120901</c:v>
                </c:pt>
                <c:pt idx="68">
                  <c:v>0.40356527555150701</c:v>
                </c:pt>
                <c:pt idx="69">
                  <c:v>0.38041395822347113</c:v>
                </c:pt>
                <c:pt idx="70">
                  <c:v>0.37040788951581222</c:v>
                </c:pt>
                <c:pt idx="71">
                  <c:v>0.36566391547785715</c:v>
                </c:pt>
                <c:pt idx="72">
                  <c:v>0.363465520402388</c:v>
                </c:pt>
                <c:pt idx="73">
                  <c:v>0.34770243920145211</c:v>
                </c:pt>
                <c:pt idx="74">
                  <c:v>0.31818343287107298</c:v>
                </c:pt>
                <c:pt idx="75">
                  <c:v>0.31510607904768723</c:v>
                </c:pt>
                <c:pt idx="76">
                  <c:v>0.24023183350829311</c:v>
                </c:pt>
                <c:pt idx="77">
                  <c:v>0.23099199539710707</c:v>
                </c:pt>
                <c:pt idx="78">
                  <c:v>0.21833698361150999</c:v>
                </c:pt>
                <c:pt idx="79">
                  <c:v>0.22592658272743507</c:v>
                </c:pt>
                <c:pt idx="80">
                  <c:v>0.26362653618570808</c:v>
                </c:pt>
                <c:pt idx="81">
                  <c:v>0.28046806591132412</c:v>
                </c:pt>
                <c:pt idx="82">
                  <c:v>0.31803540833809202</c:v>
                </c:pt>
                <c:pt idx="83">
                  <c:v>0.29120044981726312</c:v>
                </c:pt>
                <c:pt idx="84">
                  <c:v>0.28334615653633488</c:v>
                </c:pt>
                <c:pt idx="85">
                  <c:v>0.29154461376427915</c:v>
                </c:pt>
                <c:pt idx="86">
                  <c:v>0.3157124473265881</c:v>
                </c:pt>
                <c:pt idx="87">
                  <c:v>0.3175374645605511</c:v>
                </c:pt>
                <c:pt idx="88">
                  <c:v>0.18618591589861697</c:v>
                </c:pt>
                <c:pt idx="89">
                  <c:v>0.18459964185213812</c:v>
                </c:pt>
                <c:pt idx="90">
                  <c:v>0.11296389588581</c:v>
                </c:pt>
                <c:pt idx="91">
                  <c:v>0.23936578397459399</c:v>
                </c:pt>
                <c:pt idx="92">
                  <c:v>0.28795366253411098</c:v>
                </c:pt>
                <c:pt idx="93">
                  <c:v>0.35215570963565512</c:v>
                </c:pt>
                <c:pt idx="94">
                  <c:v>0.40841655811260813</c:v>
                </c:pt>
                <c:pt idx="95">
                  <c:v>0.30026256564141213</c:v>
                </c:pt>
                <c:pt idx="96">
                  <c:v>0.32511279112303615</c:v>
                </c:pt>
              </c:numCache>
            </c:numRef>
          </c:val>
        </c:ser>
        <c:marker val="1"/>
        <c:axId val="169093760"/>
        <c:axId val="169103744"/>
      </c:lineChart>
      <c:catAx>
        <c:axId val="169093760"/>
        <c:scaling>
          <c:orientation val="minMax"/>
        </c:scaling>
        <c:axPos val="b"/>
        <c:numFmt formatCode="General" sourceLinked="1"/>
        <c:tickLblPos val="nextTo"/>
        <c:txPr>
          <a:bodyPr/>
          <a:lstStyle/>
          <a:p>
            <a:pPr>
              <a:defRPr lang="en-IN"/>
            </a:pPr>
            <a:endParaRPr lang="en-US"/>
          </a:p>
        </c:txPr>
        <c:crossAx val="169103744"/>
        <c:crosses val="autoZero"/>
        <c:auto val="1"/>
        <c:lblAlgn val="ctr"/>
        <c:lblOffset val="100"/>
      </c:catAx>
      <c:valAx>
        <c:axId val="169103744"/>
        <c:scaling>
          <c:orientation val="minMax"/>
          <c:max val="0.6000000000000012"/>
          <c:min val="0"/>
        </c:scaling>
        <c:axPos val="l"/>
        <c:majorGridlines/>
        <c:numFmt formatCode="0.000" sourceLinked="1"/>
        <c:tickLblPos val="nextTo"/>
        <c:txPr>
          <a:bodyPr/>
          <a:lstStyle/>
          <a:p>
            <a:pPr>
              <a:defRPr lang="en-IN"/>
            </a:pPr>
            <a:endParaRPr lang="en-US"/>
          </a:p>
        </c:txPr>
        <c:crossAx val="169093760"/>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2"/>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US Steel diagram'!$B$45</c:f>
              <c:strCache>
                <c:ptCount val="1"/>
                <c:pt idx="0">
                  <c:v>TotDebttoTA </c:v>
                </c:pt>
              </c:strCache>
            </c:strRef>
          </c:tx>
          <c:spPr>
            <a:ln>
              <a:solidFill>
                <a:schemeClr val="tx1"/>
              </a:solidFill>
            </a:ln>
          </c:spPr>
          <c:marker>
            <c:symbol val="none"/>
          </c:marker>
          <c:cat>
            <c:numRef>
              <c:f>'HD US Steel diagram'!$C$44:$DF$44</c:f>
              <c:numCache>
                <c:formatCode>General</c:formatCode>
                <c:ptCount val="108"/>
                <c:pt idx="0">
                  <c:v>1901</c:v>
                </c:pt>
                <c:pt idx="1">
                  <c:v>1902</c:v>
                </c:pt>
                <c:pt idx="2">
                  <c:v>1903</c:v>
                </c:pt>
                <c:pt idx="3">
                  <c:v>1904</c:v>
                </c:pt>
                <c:pt idx="4">
                  <c:v>1905</c:v>
                </c:pt>
                <c:pt idx="5">
                  <c:v>1906</c:v>
                </c:pt>
                <c:pt idx="6">
                  <c:v>1907</c:v>
                </c:pt>
                <c:pt idx="7">
                  <c:v>1908</c:v>
                </c:pt>
                <c:pt idx="8">
                  <c:v>1909</c:v>
                </c:pt>
                <c:pt idx="9">
                  <c:v>1910</c:v>
                </c:pt>
                <c:pt idx="10">
                  <c:v>1911</c:v>
                </c:pt>
                <c:pt idx="11">
                  <c:v>1912</c:v>
                </c:pt>
                <c:pt idx="12">
                  <c:v>1913</c:v>
                </c:pt>
                <c:pt idx="13">
                  <c:v>1914</c:v>
                </c:pt>
                <c:pt idx="14">
                  <c:v>1915</c:v>
                </c:pt>
                <c:pt idx="15">
                  <c:v>1916</c:v>
                </c:pt>
                <c:pt idx="16">
                  <c:v>1917</c:v>
                </c:pt>
                <c:pt idx="17">
                  <c:v>1918</c:v>
                </c:pt>
                <c:pt idx="18">
                  <c:v>1919</c:v>
                </c:pt>
                <c:pt idx="19">
                  <c:v>1920</c:v>
                </c:pt>
                <c:pt idx="20">
                  <c:v>1921</c:v>
                </c:pt>
                <c:pt idx="21">
                  <c:v>1922</c:v>
                </c:pt>
                <c:pt idx="22">
                  <c:v>1923</c:v>
                </c:pt>
                <c:pt idx="23">
                  <c:v>1924</c:v>
                </c:pt>
                <c:pt idx="24">
                  <c:v>1925</c:v>
                </c:pt>
                <c:pt idx="25">
                  <c:v>1926</c:v>
                </c:pt>
                <c:pt idx="26">
                  <c:v>1927</c:v>
                </c:pt>
                <c:pt idx="27">
                  <c:v>1928</c:v>
                </c:pt>
                <c:pt idx="28">
                  <c:v>1929</c:v>
                </c:pt>
                <c:pt idx="29">
                  <c:v>1930</c:v>
                </c:pt>
                <c:pt idx="30">
                  <c:v>1931</c:v>
                </c:pt>
                <c:pt idx="31">
                  <c:v>1932</c:v>
                </c:pt>
                <c:pt idx="32">
                  <c:v>1933</c:v>
                </c:pt>
                <c:pt idx="33">
                  <c:v>1934</c:v>
                </c:pt>
                <c:pt idx="34">
                  <c:v>1935</c:v>
                </c:pt>
                <c:pt idx="35">
                  <c:v>1936</c:v>
                </c:pt>
                <c:pt idx="36">
                  <c:v>1937</c:v>
                </c:pt>
                <c:pt idx="37">
                  <c:v>1938</c:v>
                </c:pt>
                <c:pt idx="38">
                  <c:v>1939</c:v>
                </c:pt>
                <c:pt idx="39">
                  <c:v>1940</c:v>
                </c:pt>
                <c:pt idx="40">
                  <c:v>1941</c:v>
                </c:pt>
                <c:pt idx="41">
                  <c:v>1942</c:v>
                </c:pt>
                <c:pt idx="42">
                  <c:v>1943</c:v>
                </c:pt>
                <c:pt idx="43">
                  <c:v>1944</c:v>
                </c:pt>
                <c:pt idx="44">
                  <c:v>1945</c:v>
                </c:pt>
                <c:pt idx="45">
                  <c:v>1946</c:v>
                </c:pt>
                <c:pt idx="46">
                  <c:v>1947</c:v>
                </c:pt>
                <c:pt idx="47">
                  <c:v>1948</c:v>
                </c:pt>
                <c:pt idx="48">
                  <c:v>1949</c:v>
                </c:pt>
                <c:pt idx="49">
                  <c:v>1950</c:v>
                </c:pt>
                <c:pt idx="50">
                  <c:v>1951</c:v>
                </c:pt>
                <c:pt idx="51">
                  <c:v>1952</c:v>
                </c:pt>
                <c:pt idx="52">
                  <c:v>1953</c:v>
                </c:pt>
                <c:pt idx="53">
                  <c:v>1954</c:v>
                </c:pt>
                <c:pt idx="54">
                  <c:v>1955</c:v>
                </c:pt>
                <c:pt idx="55">
                  <c:v>1956</c:v>
                </c:pt>
                <c:pt idx="56">
                  <c:v>1957</c:v>
                </c:pt>
                <c:pt idx="57">
                  <c:v>1958</c:v>
                </c:pt>
                <c:pt idx="58">
                  <c:v>1959</c:v>
                </c:pt>
                <c:pt idx="59">
                  <c:v>1960</c:v>
                </c:pt>
                <c:pt idx="60">
                  <c:v>1961</c:v>
                </c:pt>
                <c:pt idx="61">
                  <c:v>1962</c:v>
                </c:pt>
                <c:pt idx="62">
                  <c:v>1963</c:v>
                </c:pt>
                <c:pt idx="63">
                  <c:v>1964</c:v>
                </c:pt>
                <c:pt idx="64">
                  <c:v>1965</c:v>
                </c:pt>
                <c:pt idx="65">
                  <c:v>1966</c:v>
                </c:pt>
                <c:pt idx="66">
                  <c:v>1967</c:v>
                </c:pt>
                <c:pt idx="67">
                  <c:v>1968</c:v>
                </c:pt>
                <c:pt idx="68">
                  <c:v>1969</c:v>
                </c:pt>
                <c:pt idx="69">
                  <c:v>1970</c:v>
                </c:pt>
                <c:pt idx="70">
                  <c:v>1971</c:v>
                </c:pt>
                <c:pt idx="71">
                  <c:v>1972</c:v>
                </c:pt>
                <c:pt idx="72">
                  <c:v>1973</c:v>
                </c:pt>
                <c:pt idx="73">
                  <c:v>1974</c:v>
                </c:pt>
                <c:pt idx="74">
                  <c:v>1975</c:v>
                </c:pt>
                <c:pt idx="75">
                  <c:v>1976</c:v>
                </c:pt>
                <c:pt idx="76">
                  <c:v>1977</c:v>
                </c:pt>
                <c:pt idx="77">
                  <c:v>1978</c:v>
                </c:pt>
                <c:pt idx="78">
                  <c:v>1979</c:v>
                </c:pt>
                <c:pt idx="79">
                  <c:v>1980</c:v>
                </c:pt>
                <c:pt idx="80">
                  <c:v>1981</c:v>
                </c:pt>
                <c:pt idx="81">
                  <c:v>1982</c:v>
                </c:pt>
                <c:pt idx="82">
                  <c:v>1983</c:v>
                </c:pt>
                <c:pt idx="83">
                  <c:v>1984</c:v>
                </c:pt>
                <c:pt idx="84">
                  <c:v>1985</c:v>
                </c:pt>
                <c:pt idx="85">
                  <c:v>1986</c:v>
                </c:pt>
                <c:pt idx="86">
                  <c:v>1987</c:v>
                </c:pt>
                <c:pt idx="87">
                  <c:v>1988</c:v>
                </c:pt>
                <c:pt idx="88">
                  <c:v>1989</c:v>
                </c:pt>
                <c:pt idx="89">
                  <c:v>1990</c:v>
                </c:pt>
                <c:pt idx="90">
                  <c:v>1991</c:v>
                </c:pt>
                <c:pt idx="91">
                  <c:v>1992</c:v>
                </c:pt>
                <c:pt idx="92">
                  <c:v>1993</c:v>
                </c:pt>
                <c:pt idx="93">
                  <c:v>1994</c:v>
                </c:pt>
                <c:pt idx="94">
                  <c:v>1995</c:v>
                </c:pt>
                <c:pt idx="95">
                  <c:v>1996</c:v>
                </c:pt>
                <c:pt idx="96">
                  <c:v>1997</c:v>
                </c:pt>
                <c:pt idx="97">
                  <c:v>1998</c:v>
                </c:pt>
                <c:pt idx="98">
                  <c:v>1999</c:v>
                </c:pt>
                <c:pt idx="99">
                  <c:v>2000</c:v>
                </c:pt>
                <c:pt idx="100">
                  <c:v>2001</c:v>
                </c:pt>
                <c:pt idx="101">
                  <c:v>2002</c:v>
                </c:pt>
                <c:pt idx="102">
                  <c:v>2003</c:v>
                </c:pt>
                <c:pt idx="103">
                  <c:v>2004</c:v>
                </c:pt>
                <c:pt idx="104">
                  <c:v>2005</c:v>
                </c:pt>
                <c:pt idx="105">
                  <c:v>2006</c:v>
                </c:pt>
                <c:pt idx="106">
                  <c:v>2007</c:v>
                </c:pt>
                <c:pt idx="107">
                  <c:v>2008</c:v>
                </c:pt>
              </c:numCache>
            </c:numRef>
          </c:cat>
          <c:val>
            <c:numRef>
              <c:f>'HD US Steel diagram'!$C$45:$DF$45</c:f>
              <c:numCache>
                <c:formatCode>General</c:formatCode>
                <c:ptCount val="108"/>
                <c:pt idx="0">
                  <c:v>0.23950037366513005</c:v>
                </c:pt>
                <c:pt idx="1">
                  <c:v>0.24347663091267299</c:v>
                </c:pt>
                <c:pt idx="2">
                  <c:v>0.36521930792168911</c:v>
                </c:pt>
                <c:pt idx="3">
                  <c:v>0.36441206615033811</c:v>
                </c:pt>
                <c:pt idx="4">
                  <c:v>0.35180296236878222</c:v>
                </c:pt>
                <c:pt idx="5">
                  <c:v>0.33687330334493526</c:v>
                </c:pt>
                <c:pt idx="6">
                  <c:v>0.34504719243168391</c:v>
                </c:pt>
                <c:pt idx="7">
                  <c:v>0.34262753974604898</c:v>
                </c:pt>
                <c:pt idx="8">
                  <c:v>0.33478948219172511</c:v>
                </c:pt>
                <c:pt idx="9">
                  <c:v>0.34384763070152391</c:v>
                </c:pt>
                <c:pt idx="10">
                  <c:v>0.35744273086792511</c:v>
                </c:pt>
                <c:pt idx="11">
                  <c:v>0.36269300864246701</c:v>
                </c:pt>
                <c:pt idx="12">
                  <c:v>0.35375320665368787</c:v>
                </c:pt>
                <c:pt idx="13">
                  <c:v>0.3685420084902461</c:v>
                </c:pt>
                <c:pt idx="14">
                  <c:v>0.348093081561688</c:v>
                </c:pt>
                <c:pt idx="15">
                  <c:v>0.30210773992293111</c:v>
                </c:pt>
                <c:pt idx="16">
                  <c:v>0.25415166645385801</c:v>
                </c:pt>
                <c:pt idx="17">
                  <c:v>0.24000858410848006</c:v>
                </c:pt>
                <c:pt idx="18">
                  <c:v>0.25435684672469511</c:v>
                </c:pt>
                <c:pt idx="19">
                  <c:v>0.24127855472221399</c:v>
                </c:pt>
                <c:pt idx="20">
                  <c:v>0.24458459284376799</c:v>
                </c:pt>
                <c:pt idx="21">
                  <c:v>0.24409971154722515</c:v>
                </c:pt>
                <c:pt idx="22">
                  <c:v>0.23036191685666599</c:v>
                </c:pt>
                <c:pt idx="23">
                  <c:v>0.2236663831724241</c:v>
                </c:pt>
                <c:pt idx="24">
                  <c:v>0.21973377702170199</c:v>
                </c:pt>
                <c:pt idx="25">
                  <c:v>0.21151924564877506</c:v>
                </c:pt>
                <c:pt idx="26">
                  <c:v>0.20549221164185205</c:v>
                </c:pt>
                <c:pt idx="27" formatCode="#,##0.00">
                  <c:v>0.19656242322146306</c:v>
                </c:pt>
                <c:pt idx="28">
                  <c:v>5.8687396509831999E-2</c:v>
                </c:pt>
                <c:pt idx="29">
                  <c:v>5.1201991231960002E-2</c:v>
                </c:pt>
                <c:pt idx="30">
                  <c:v>5.2053193092910413E-2</c:v>
                </c:pt>
                <c:pt idx="31">
                  <c:v>5.3148548373781072E-2</c:v>
                </c:pt>
                <c:pt idx="32">
                  <c:v>5.2505520056457401E-2</c:v>
                </c:pt>
                <c:pt idx="33">
                  <c:v>5.3600826511191399E-2</c:v>
                </c:pt>
                <c:pt idx="34">
                  <c:v>5.9586079069551816E-2</c:v>
                </c:pt>
                <c:pt idx="35">
                  <c:v>6.0244531008525719E-2</c:v>
                </c:pt>
                <c:pt idx="36">
                  <c:v>6.2843254248029334E-2</c:v>
                </c:pt>
                <c:pt idx="37">
                  <c:v>0.142424566833875</c:v>
                </c:pt>
                <c:pt idx="38">
                  <c:v>0.13913411394652</c:v>
                </c:pt>
                <c:pt idx="39">
                  <c:v>0.10981764835838602</c:v>
                </c:pt>
                <c:pt idx="40">
                  <c:v>9.4539721365625135E-2</c:v>
                </c:pt>
                <c:pt idx="41">
                  <c:v>7.154319190873451E-2</c:v>
                </c:pt>
                <c:pt idx="42">
                  <c:v>6.4888991024952533E-2</c:v>
                </c:pt>
                <c:pt idx="43">
                  <c:v>4.7597134467547417E-2</c:v>
                </c:pt>
                <c:pt idx="44">
                  <c:v>4.9036293716050117E-2</c:v>
                </c:pt>
                <c:pt idx="45">
                  <c:v>4.3683973343187403E-2</c:v>
                </c:pt>
                <c:pt idx="46">
                  <c:v>3.8357763301742794E-2</c:v>
                </c:pt>
                <c:pt idx="47">
                  <c:v>3.0519450315502392E-2</c:v>
                </c:pt>
                <c:pt idx="48">
                  <c:v>2.8085260126506313E-2</c:v>
                </c:pt>
                <c:pt idx="49">
                  <c:v>2.3261860511117807E-2</c:v>
                </c:pt>
                <c:pt idx="50">
                  <c:v>1.8244340433661303E-2</c:v>
                </c:pt>
                <c:pt idx="51">
                  <c:v>2.1449605139875809E-2</c:v>
                </c:pt>
                <c:pt idx="52">
                  <c:v>2.1277906081618513E-2</c:v>
                </c:pt>
                <c:pt idx="53">
                  <c:v>0.10283437420521703</c:v>
                </c:pt>
                <c:pt idx="54">
                  <c:v>8.04597701149425E-2</c:v>
                </c:pt>
                <c:pt idx="55">
                  <c:v>6.7291311754684793E-2</c:v>
                </c:pt>
                <c:pt idx="56">
                  <c:v>5.5639445416743614E-2</c:v>
                </c:pt>
                <c:pt idx="57">
                  <c:v>0.11142296975239797</c:v>
                </c:pt>
                <c:pt idx="58">
                  <c:v>0.103386918965834</c:v>
                </c:pt>
                <c:pt idx="59">
                  <c:v>9.506783074035563E-2</c:v>
                </c:pt>
                <c:pt idx="60">
                  <c:v>0.17943258370136911</c:v>
                </c:pt>
                <c:pt idx="61">
                  <c:v>0.17469432446027006</c:v>
                </c:pt>
                <c:pt idx="62">
                  <c:v>0.15975284668010906</c:v>
                </c:pt>
                <c:pt idx="63">
                  <c:v>0.14378313401735607</c:v>
                </c:pt>
                <c:pt idx="64">
                  <c:v>0.13338214960597897</c:v>
                </c:pt>
                <c:pt idx="65">
                  <c:v>0.224309913768893</c:v>
                </c:pt>
                <c:pt idx="66">
                  <c:v>0.21786238886405204</c:v>
                </c:pt>
                <c:pt idx="67">
                  <c:v>0.24918514587265705</c:v>
                </c:pt>
                <c:pt idx="68">
                  <c:v>0.22337721767281696</c:v>
                </c:pt>
                <c:pt idx="69">
                  <c:v>0.22765979124488495</c:v>
                </c:pt>
                <c:pt idx="70">
                  <c:v>0.23372590678975894</c:v>
                </c:pt>
                <c:pt idx="71">
                  <c:v>0.23263898613215606</c:v>
                </c:pt>
                <c:pt idx="72">
                  <c:v>0.20737376612102501</c:v>
                </c:pt>
                <c:pt idx="73">
                  <c:v>0.17505907109847299</c:v>
                </c:pt>
                <c:pt idx="74">
                  <c:v>0.19226343993976605</c:v>
                </c:pt>
                <c:pt idx="75">
                  <c:v>0.23508114946305</c:v>
                </c:pt>
                <c:pt idx="76">
                  <c:v>0.2572219715206111</c:v>
                </c:pt>
                <c:pt idx="77">
                  <c:v>0.23089715485431606</c:v>
                </c:pt>
                <c:pt idx="78">
                  <c:v>0.23096324190850001</c:v>
                </c:pt>
                <c:pt idx="79">
                  <c:v>0.21555053211729011</c:v>
                </c:pt>
                <c:pt idx="80">
                  <c:v>0.18941742543508908</c:v>
                </c:pt>
                <c:pt idx="81">
                  <c:v>0.38508645533158814</c:v>
                </c:pt>
                <c:pt idx="82">
                  <c:v>0.39028683856273311</c:v>
                </c:pt>
                <c:pt idx="83">
                  <c:v>0.35968192111232811</c:v>
                </c:pt>
                <c:pt idx="84">
                  <c:v>0.31871408435451515</c:v>
                </c:pt>
                <c:pt idx="85">
                  <c:v>0.48687164917761921</c:v>
                </c:pt>
                <c:pt idx="86">
                  <c:v>0.44030270491390611</c:v>
                </c:pt>
                <c:pt idx="87">
                  <c:v>0.42646605730732612</c:v>
                </c:pt>
                <c:pt idx="88">
                  <c:v>0.35531428571451523</c:v>
                </c:pt>
                <c:pt idx="89">
                  <c:v>0.33628677322242834</c:v>
                </c:pt>
                <c:pt idx="90">
                  <c:v>0.38347320852162697</c:v>
                </c:pt>
                <c:pt idx="91">
                  <c:v>0.36801530257361498</c:v>
                </c:pt>
                <c:pt idx="92">
                  <c:v>0.340969264418096</c:v>
                </c:pt>
                <c:pt idx="93">
                  <c:v>0.31968944453958997</c:v>
                </c:pt>
                <c:pt idx="94">
                  <c:v>0.29725855581437011</c:v>
                </c:pt>
                <c:pt idx="95">
                  <c:v>0.25282685512372011</c:v>
                </c:pt>
                <c:pt idx="96">
                  <c:v>0.2144179588059201</c:v>
                </c:pt>
                <c:pt idx="97">
                  <c:v>0.204324989353144</c:v>
                </c:pt>
                <c:pt idx="98">
                  <c:v>0.19449525302674706</c:v>
                </c:pt>
                <c:pt idx="99">
                  <c:v>0.2048203068245</c:v>
                </c:pt>
                <c:pt idx="100">
                  <c:v>0.17584262924313293</c:v>
                </c:pt>
                <c:pt idx="101">
                  <c:v>0.17976682963520099</c:v>
                </c:pt>
                <c:pt idx="102">
                  <c:v>0.24661903546830508</c:v>
                </c:pt>
                <c:pt idx="103">
                  <c:v>0.12513691128148993</c:v>
                </c:pt>
                <c:pt idx="104">
                  <c:v>0.16412136021176896</c:v>
                </c:pt>
                <c:pt idx="105">
                  <c:v>9.6825996599305228E-2</c:v>
                </c:pt>
                <c:pt idx="106">
                  <c:v>0.20835465711361295</c:v>
                </c:pt>
                <c:pt idx="107">
                  <c:v>0.19549947162305001</c:v>
                </c:pt>
              </c:numCache>
            </c:numRef>
          </c:val>
        </c:ser>
        <c:marker val="1"/>
        <c:axId val="169108224"/>
        <c:axId val="169109760"/>
      </c:lineChart>
      <c:catAx>
        <c:axId val="169108224"/>
        <c:scaling>
          <c:orientation val="minMax"/>
        </c:scaling>
        <c:axPos val="b"/>
        <c:numFmt formatCode="General" sourceLinked="1"/>
        <c:tickLblPos val="nextTo"/>
        <c:txPr>
          <a:bodyPr/>
          <a:lstStyle/>
          <a:p>
            <a:pPr>
              <a:defRPr lang="en-IN"/>
            </a:pPr>
            <a:endParaRPr lang="en-US"/>
          </a:p>
        </c:txPr>
        <c:crossAx val="169109760"/>
        <c:crosses val="autoZero"/>
        <c:auto val="1"/>
        <c:lblAlgn val="ctr"/>
        <c:lblOffset val="100"/>
      </c:catAx>
      <c:valAx>
        <c:axId val="169109760"/>
        <c:scaling>
          <c:orientation val="minMax"/>
          <c:max val="0.5"/>
        </c:scaling>
        <c:axPos val="l"/>
        <c:majorGridlines/>
        <c:numFmt formatCode="#,##0.000" sourceLinked="0"/>
        <c:tickLblPos val="nextTo"/>
        <c:txPr>
          <a:bodyPr/>
          <a:lstStyle/>
          <a:p>
            <a:pPr>
              <a:defRPr lang="en-IN"/>
            </a:pPr>
            <a:endParaRPr lang="en-US"/>
          </a:p>
        </c:txPr>
        <c:crossAx val="169108224"/>
        <c:crosses val="autoZero"/>
        <c:crossBetween val="between"/>
        <c:majorUnit val="0.1"/>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Bethlehem Steel digram'!$B$46</c:f>
              <c:strCache>
                <c:ptCount val="1"/>
                <c:pt idx="0">
                  <c:v>TotDebttoTA </c:v>
                </c:pt>
              </c:strCache>
            </c:strRef>
          </c:tx>
          <c:spPr>
            <a:ln>
              <a:solidFill>
                <a:prstClr val="black"/>
              </a:solidFill>
            </a:ln>
          </c:spPr>
          <c:marker>
            <c:symbol val="none"/>
          </c:marker>
          <c:cat>
            <c:numRef>
              <c:f>'HD Bethlehem Steel digram'!$C$45:$CV$45</c:f>
              <c:numCache>
                <c:formatCode>General</c:formatCode>
                <c:ptCount val="98"/>
                <c:pt idx="0">
                  <c:v>1905</c:v>
                </c:pt>
                <c:pt idx="1">
                  <c:v>1906</c:v>
                </c:pt>
                <c:pt idx="2">
                  <c:v>1907</c:v>
                </c:pt>
                <c:pt idx="3">
                  <c:v>1908</c:v>
                </c:pt>
                <c:pt idx="4">
                  <c:v>1909</c:v>
                </c:pt>
                <c:pt idx="5">
                  <c:v>1910</c:v>
                </c:pt>
                <c:pt idx="6">
                  <c:v>1911</c:v>
                </c:pt>
                <c:pt idx="7">
                  <c:v>1912</c:v>
                </c:pt>
                <c:pt idx="8">
                  <c:v>1913</c:v>
                </c:pt>
                <c:pt idx="9">
                  <c:v>1914</c:v>
                </c:pt>
                <c:pt idx="10">
                  <c:v>1915</c:v>
                </c:pt>
                <c:pt idx="11">
                  <c:v>1916</c:v>
                </c:pt>
                <c:pt idx="12">
                  <c:v>1917</c:v>
                </c:pt>
                <c:pt idx="13">
                  <c:v>1918</c:v>
                </c:pt>
                <c:pt idx="14">
                  <c:v>1919</c:v>
                </c:pt>
                <c:pt idx="15">
                  <c:v>1920</c:v>
                </c:pt>
                <c:pt idx="16">
                  <c:v>1921</c:v>
                </c:pt>
                <c:pt idx="17">
                  <c:v>1922</c:v>
                </c:pt>
                <c:pt idx="18">
                  <c:v>1923</c:v>
                </c:pt>
                <c:pt idx="19">
                  <c:v>1924</c:v>
                </c:pt>
                <c:pt idx="20">
                  <c:v>1925</c:v>
                </c:pt>
                <c:pt idx="21">
                  <c:v>1926</c:v>
                </c:pt>
                <c:pt idx="22">
                  <c:v>1927</c:v>
                </c:pt>
                <c:pt idx="23">
                  <c:v>1928</c:v>
                </c:pt>
                <c:pt idx="24">
                  <c:v>1929</c:v>
                </c:pt>
                <c:pt idx="25">
                  <c:v>1930</c:v>
                </c:pt>
                <c:pt idx="26">
                  <c:v>1931</c:v>
                </c:pt>
                <c:pt idx="27">
                  <c:v>1932</c:v>
                </c:pt>
                <c:pt idx="28">
                  <c:v>1933</c:v>
                </c:pt>
                <c:pt idx="29">
                  <c:v>1934</c:v>
                </c:pt>
                <c:pt idx="30">
                  <c:v>1935</c:v>
                </c:pt>
                <c:pt idx="31">
                  <c:v>1936</c:v>
                </c:pt>
                <c:pt idx="32">
                  <c:v>1937</c:v>
                </c:pt>
                <c:pt idx="33">
                  <c:v>1938</c:v>
                </c:pt>
                <c:pt idx="34">
                  <c:v>1939</c:v>
                </c:pt>
                <c:pt idx="35">
                  <c:v>1940</c:v>
                </c:pt>
                <c:pt idx="36">
                  <c:v>1941</c:v>
                </c:pt>
                <c:pt idx="37">
                  <c:v>1942</c:v>
                </c:pt>
                <c:pt idx="38">
                  <c:v>1943</c:v>
                </c:pt>
                <c:pt idx="39">
                  <c:v>1944</c:v>
                </c:pt>
                <c:pt idx="40">
                  <c:v>1945</c:v>
                </c:pt>
                <c:pt idx="41">
                  <c:v>1946</c:v>
                </c:pt>
                <c:pt idx="42">
                  <c:v>1947</c:v>
                </c:pt>
                <c:pt idx="43">
                  <c:v>1948</c:v>
                </c:pt>
                <c:pt idx="44">
                  <c:v>1949</c:v>
                </c:pt>
                <c:pt idx="45">
                  <c:v>1950</c:v>
                </c:pt>
                <c:pt idx="46">
                  <c:v>1951</c:v>
                </c:pt>
                <c:pt idx="47">
                  <c:v>1952</c:v>
                </c:pt>
                <c:pt idx="48">
                  <c:v>1953</c:v>
                </c:pt>
                <c:pt idx="49">
                  <c:v>1954</c:v>
                </c:pt>
                <c:pt idx="50">
                  <c:v>1955</c:v>
                </c:pt>
                <c:pt idx="51">
                  <c:v>1956</c:v>
                </c:pt>
                <c:pt idx="52">
                  <c:v>1957</c:v>
                </c:pt>
                <c:pt idx="53">
                  <c:v>1958</c:v>
                </c:pt>
                <c:pt idx="54">
                  <c:v>1959</c:v>
                </c:pt>
                <c:pt idx="55">
                  <c:v>1960</c:v>
                </c:pt>
                <c:pt idx="56">
                  <c:v>1961</c:v>
                </c:pt>
                <c:pt idx="57">
                  <c:v>1962</c:v>
                </c:pt>
                <c:pt idx="58">
                  <c:v>1963</c:v>
                </c:pt>
                <c:pt idx="59">
                  <c:v>1964</c:v>
                </c:pt>
                <c:pt idx="60">
                  <c:v>1965</c:v>
                </c:pt>
                <c:pt idx="61">
                  <c:v>1966</c:v>
                </c:pt>
                <c:pt idx="62">
                  <c:v>1967</c:v>
                </c:pt>
                <c:pt idx="63">
                  <c:v>1968</c:v>
                </c:pt>
                <c:pt idx="64">
                  <c:v>1969</c:v>
                </c:pt>
                <c:pt idx="65">
                  <c:v>1970</c:v>
                </c:pt>
                <c:pt idx="66">
                  <c:v>1971</c:v>
                </c:pt>
                <c:pt idx="67">
                  <c:v>1972</c:v>
                </c:pt>
                <c:pt idx="68">
                  <c:v>1973</c:v>
                </c:pt>
                <c:pt idx="69">
                  <c:v>1974</c:v>
                </c:pt>
                <c:pt idx="70">
                  <c:v>1975</c:v>
                </c:pt>
                <c:pt idx="71">
                  <c:v>1976</c:v>
                </c:pt>
                <c:pt idx="72">
                  <c:v>1977</c:v>
                </c:pt>
                <c:pt idx="73">
                  <c:v>1978</c:v>
                </c:pt>
                <c:pt idx="74">
                  <c:v>1979</c:v>
                </c:pt>
                <c:pt idx="75">
                  <c:v>1980</c:v>
                </c:pt>
                <c:pt idx="76">
                  <c:v>1981</c:v>
                </c:pt>
                <c:pt idx="77">
                  <c:v>1982</c:v>
                </c:pt>
                <c:pt idx="78">
                  <c:v>1983</c:v>
                </c:pt>
                <c:pt idx="79">
                  <c:v>1984</c:v>
                </c:pt>
                <c:pt idx="80">
                  <c:v>1985</c:v>
                </c:pt>
                <c:pt idx="81">
                  <c:v>1986</c:v>
                </c:pt>
                <c:pt idx="82">
                  <c:v>1987</c:v>
                </c:pt>
                <c:pt idx="83">
                  <c:v>1988</c:v>
                </c:pt>
                <c:pt idx="84">
                  <c:v>1989</c:v>
                </c:pt>
                <c:pt idx="85">
                  <c:v>1990</c:v>
                </c:pt>
                <c:pt idx="86">
                  <c:v>1991</c:v>
                </c:pt>
                <c:pt idx="87">
                  <c:v>1992</c:v>
                </c:pt>
                <c:pt idx="88">
                  <c:v>1993</c:v>
                </c:pt>
                <c:pt idx="89">
                  <c:v>1994</c:v>
                </c:pt>
                <c:pt idx="90">
                  <c:v>1995</c:v>
                </c:pt>
                <c:pt idx="91">
                  <c:v>1996</c:v>
                </c:pt>
                <c:pt idx="92">
                  <c:v>1997</c:v>
                </c:pt>
                <c:pt idx="93">
                  <c:v>1998</c:v>
                </c:pt>
                <c:pt idx="94">
                  <c:v>1999</c:v>
                </c:pt>
                <c:pt idx="95">
                  <c:v>2000</c:v>
                </c:pt>
                <c:pt idx="96">
                  <c:v>2001</c:v>
                </c:pt>
                <c:pt idx="97">
                  <c:v>2002</c:v>
                </c:pt>
              </c:numCache>
            </c:numRef>
          </c:cat>
          <c:val>
            <c:numRef>
              <c:f>'HD Bethlehem Steel digram'!$C$46:$CV$46</c:f>
              <c:numCache>
                <c:formatCode>General</c:formatCode>
                <c:ptCount val="98"/>
                <c:pt idx="0">
                  <c:v>0.22385788910568594</c:v>
                </c:pt>
                <c:pt idx="1">
                  <c:v>0.33124235485375608</c:v>
                </c:pt>
                <c:pt idx="2">
                  <c:v>0.40712228489419611</c:v>
                </c:pt>
                <c:pt idx="3">
                  <c:v>0.40822417538265432</c:v>
                </c:pt>
                <c:pt idx="4">
                  <c:v>0.45528609427069611</c:v>
                </c:pt>
                <c:pt idx="5">
                  <c:v>0.44409249809943202</c:v>
                </c:pt>
                <c:pt idx="6">
                  <c:v>0.39575279193008922</c:v>
                </c:pt>
                <c:pt idx="7">
                  <c:v>0.40597558367677811</c:v>
                </c:pt>
                <c:pt idx="8">
                  <c:v>0.38684941506741322</c:v>
                </c:pt>
                <c:pt idx="9">
                  <c:v>0.35243558075094911</c:v>
                </c:pt>
                <c:pt idx="10">
                  <c:v>0.21587962284705001</c:v>
                </c:pt>
                <c:pt idx="11">
                  <c:v>0.38769021724413211</c:v>
                </c:pt>
                <c:pt idx="12">
                  <c:v>0.36166309224319693</c:v>
                </c:pt>
                <c:pt idx="13">
                  <c:v>0.39134374485473811</c:v>
                </c:pt>
                <c:pt idx="14">
                  <c:v>0.34076002925850601</c:v>
                </c:pt>
                <c:pt idx="15">
                  <c:v>0.37748807616112112</c:v>
                </c:pt>
                <c:pt idx="16">
                  <c:v>0.40508720022129202</c:v>
                </c:pt>
                <c:pt idx="17">
                  <c:v>0.3619153482040291</c:v>
                </c:pt>
                <c:pt idx="18">
                  <c:v>0.34937009860932611</c:v>
                </c:pt>
                <c:pt idx="19">
                  <c:v>0.38566807857009611</c:v>
                </c:pt>
                <c:pt idx="20">
                  <c:v>0.3669785669984163</c:v>
                </c:pt>
                <c:pt idx="21">
                  <c:v>0.32189253527786332</c:v>
                </c:pt>
                <c:pt idx="22">
                  <c:v>0.31328597156373911</c:v>
                </c:pt>
                <c:pt idx="23">
                  <c:v>0.30997007589313214</c:v>
                </c:pt>
                <c:pt idx="24">
                  <c:v>0.22995556778129506</c:v>
                </c:pt>
                <c:pt idx="25">
                  <c:v>0.163288506133243</c:v>
                </c:pt>
                <c:pt idx="26">
                  <c:v>0.193785867154533</c:v>
                </c:pt>
                <c:pt idx="27">
                  <c:v>0.191427417304604</c:v>
                </c:pt>
                <c:pt idx="28">
                  <c:v>0.18672440488210712</c:v>
                </c:pt>
                <c:pt idx="29">
                  <c:v>0.18278267777110399</c:v>
                </c:pt>
                <c:pt idx="30">
                  <c:v>0.21201044270825906</c:v>
                </c:pt>
                <c:pt idx="31">
                  <c:v>0.21926425059406915</c:v>
                </c:pt>
                <c:pt idx="32">
                  <c:v>0.24776010923404601</c:v>
                </c:pt>
                <c:pt idx="33">
                  <c:v>0.24439438241695208</c:v>
                </c:pt>
                <c:pt idx="34">
                  <c:v>0.25257313163712791</c:v>
                </c:pt>
                <c:pt idx="35">
                  <c:v>0.24017936955484101</c:v>
                </c:pt>
                <c:pt idx="36">
                  <c:v>0.20663142923958194</c:v>
                </c:pt>
                <c:pt idx="37">
                  <c:v>0.171891924108271</c:v>
                </c:pt>
                <c:pt idx="38">
                  <c:v>0.15769106259790411</c:v>
                </c:pt>
                <c:pt idx="39">
                  <c:v>0.180886635956647</c:v>
                </c:pt>
                <c:pt idx="40">
                  <c:v>0.14670233496308899</c:v>
                </c:pt>
                <c:pt idx="41">
                  <c:v>0.14592423404619811</c:v>
                </c:pt>
                <c:pt idx="42">
                  <c:v>0.13407419486437999</c:v>
                </c:pt>
                <c:pt idx="43">
                  <c:v>0.12032456628042003</c:v>
                </c:pt>
                <c:pt idx="44">
                  <c:v>0.14848014649249416</c:v>
                </c:pt>
                <c:pt idx="45">
                  <c:v>0.12863749795422105</c:v>
                </c:pt>
                <c:pt idx="46">
                  <c:v>0.16883959265745599</c:v>
                </c:pt>
                <c:pt idx="47">
                  <c:v>0.22501707968449206</c:v>
                </c:pt>
                <c:pt idx="48">
                  <c:v>0.20128996074034106</c:v>
                </c:pt>
                <c:pt idx="49">
                  <c:v>9.6814181232180496E-2</c:v>
                </c:pt>
                <c:pt idx="50">
                  <c:v>0.16855956371641601</c:v>
                </c:pt>
                <c:pt idx="51">
                  <c:v>0.13330143540670306</c:v>
                </c:pt>
                <c:pt idx="52">
                  <c:v>9.5651019776136159E-2</c:v>
                </c:pt>
                <c:pt idx="53">
                  <c:v>7.2847380410022811E-2</c:v>
                </c:pt>
                <c:pt idx="54">
                  <c:v>6.5876443112717023E-2</c:v>
                </c:pt>
                <c:pt idx="55">
                  <c:v>6.1714285714285715E-2</c:v>
                </c:pt>
                <c:pt idx="56">
                  <c:v>6.0228407659907099E-2</c:v>
                </c:pt>
                <c:pt idx="57">
                  <c:v>6.1206039236958713E-2</c:v>
                </c:pt>
                <c:pt idx="58">
                  <c:v>5.4991467576791915E-2</c:v>
                </c:pt>
                <c:pt idx="59">
                  <c:v>0.10943992022602603</c:v>
                </c:pt>
                <c:pt idx="60">
                  <c:v>9.2072493198973232E-2</c:v>
                </c:pt>
                <c:pt idx="61">
                  <c:v>9.0393269418900399E-2</c:v>
                </c:pt>
                <c:pt idx="62">
                  <c:v>0.12005058857865603</c:v>
                </c:pt>
                <c:pt idx="63">
                  <c:v>0.13079989543850501</c:v>
                </c:pt>
                <c:pt idx="64">
                  <c:v>0.147627474843715</c:v>
                </c:pt>
                <c:pt idx="65">
                  <c:v>0.18181253275841006</c:v>
                </c:pt>
                <c:pt idx="66">
                  <c:v>0.16887661893949993</c:v>
                </c:pt>
                <c:pt idx="67">
                  <c:v>0.18031587971059199</c:v>
                </c:pt>
                <c:pt idx="68">
                  <c:v>0.17120306261583801</c:v>
                </c:pt>
                <c:pt idx="69">
                  <c:v>0.14538206577874097</c:v>
                </c:pt>
                <c:pt idx="70">
                  <c:v>0.19189890841297405</c:v>
                </c:pt>
                <c:pt idx="71">
                  <c:v>0.20975557806086201</c:v>
                </c:pt>
                <c:pt idx="72">
                  <c:v>0.23640063549136911</c:v>
                </c:pt>
                <c:pt idx="73">
                  <c:v>0.20341803104737313</c:v>
                </c:pt>
                <c:pt idx="74">
                  <c:v>0.19590037807611499</c:v>
                </c:pt>
                <c:pt idx="75">
                  <c:v>0.1941695736085329</c:v>
                </c:pt>
                <c:pt idx="76">
                  <c:v>0.18430204710643011</c:v>
                </c:pt>
                <c:pt idx="77">
                  <c:v>0.27673390238607887</c:v>
                </c:pt>
                <c:pt idx="78">
                  <c:v>0.25674280782497311</c:v>
                </c:pt>
                <c:pt idx="79">
                  <c:v>0.28899342807200001</c:v>
                </c:pt>
                <c:pt idx="80">
                  <c:v>0.34991369709178011</c:v>
                </c:pt>
                <c:pt idx="81">
                  <c:v>0.375251428111674</c:v>
                </c:pt>
                <c:pt idx="82">
                  <c:v>0.2725768618582512</c:v>
                </c:pt>
                <c:pt idx="83">
                  <c:v>0.18478138698445606</c:v>
                </c:pt>
                <c:pt idx="84">
                  <c:v>0.151065028268625</c:v>
                </c:pt>
                <c:pt idx="85">
                  <c:v>0.15147988407384599</c:v>
                </c:pt>
                <c:pt idx="86">
                  <c:v>0.211031175059952</c:v>
                </c:pt>
                <c:pt idx="87">
                  <c:v>0.15698029857819515</c:v>
                </c:pt>
                <c:pt idx="88">
                  <c:v>0.13847907839433701</c:v>
                </c:pt>
                <c:pt idx="89">
                  <c:v>0.13096638074164207</c:v>
                </c:pt>
                <c:pt idx="90">
                  <c:v>0.11197656263705398</c:v>
                </c:pt>
                <c:pt idx="91">
                  <c:v>0.106988395076225</c:v>
                </c:pt>
                <c:pt idx="92">
                  <c:v>0.10273601799025503</c:v>
                </c:pt>
                <c:pt idx="93">
                  <c:v>0.11955883660943996</c:v>
                </c:pt>
                <c:pt idx="94">
                  <c:v>0.15608178895271099</c:v>
                </c:pt>
                <c:pt idx="95">
                  <c:v>0.15610023779045806</c:v>
                </c:pt>
                <c:pt idx="96">
                  <c:v>0.15256833176259313</c:v>
                </c:pt>
                <c:pt idx="97">
                  <c:v>0.20125299713821601</c:v>
                </c:pt>
              </c:numCache>
            </c:numRef>
          </c:val>
        </c:ser>
        <c:marker val="1"/>
        <c:axId val="169186816"/>
        <c:axId val="169188352"/>
      </c:lineChart>
      <c:catAx>
        <c:axId val="169186816"/>
        <c:scaling>
          <c:orientation val="minMax"/>
        </c:scaling>
        <c:axPos val="b"/>
        <c:numFmt formatCode="General" sourceLinked="1"/>
        <c:tickLblPos val="nextTo"/>
        <c:txPr>
          <a:bodyPr/>
          <a:lstStyle/>
          <a:p>
            <a:pPr>
              <a:defRPr lang="en-IN"/>
            </a:pPr>
            <a:endParaRPr lang="en-US"/>
          </a:p>
        </c:txPr>
        <c:crossAx val="169188352"/>
        <c:crosses val="autoZero"/>
        <c:auto val="1"/>
        <c:lblAlgn val="ctr"/>
        <c:lblOffset val="100"/>
      </c:catAx>
      <c:valAx>
        <c:axId val="169188352"/>
        <c:scaling>
          <c:orientation val="minMax"/>
        </c:scaling>
        <c:axPos val="l"/>
        <c:majorGridlines/>
        <c:numFmt formatCode="#,##0.000" sourceLinked="0"/>
        <c:tickLblPos val="nextTo"/>
        <c:txPr>
          <a:bodyPr/>
          <a:lstStyle/>
          <a:p>
            <a:pPr>
              <a:defRPr lang="en-IN"/>
            </a:pPr>
            <a:endParaRPr lang="en-US"/>
          </a:p>
        </c:txPr>
        <c:crossAx val="169186816"/>
        <c:crosses val="autoZero"/>
        <c:crossBetween val="between"/>
        <c:majorUnit val="0.1"/>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diagram Intl Paper'!$B$44</c:f>
              <c:strCache>
                <c:ptCount val="1"/>
                <c:pt idx="0">
                  <c:v>TotDebttoTA </c:v>
                </c:pt>
              </c:strCache>
            </c:strRef>
          </c:tx>
          <c:spPr>
            <a:ln>
              <a:solidFill>
                <a:schemeClr val="tx1"/>
              </a:solidFill>
            </a:ln>
          </c:spPr>
          <c:marker>
            <c:symbol val="none"/>
          </c:marker>
          <c:cat>
            <c:numRef>
              <c:f>'HD diagram Intl Paper'!$C$43:$CY$43</c:f>
              <c:numCache>
                <c:formatCode>General</c:formatCode>
                <c:ptCount val="101"/>
                <c:pt idx="0">
                  <c:v>1909</c:v>
                </c:pt>
                <c:pt idx="1">
                  <c:v>1910</c:v>
                </c:pt>
                <c:pt idx="2">
                  <c:v>1911</c:v>
                </c:pt>
                <c:pt idx="3">
                  <c:v>1911</c:v>
                </c:pt>
                <c:pt idx="4">
                  <c:v>1912</c:v>
                </c:pt>
                <c:pt idx="5">
                  <c:v>1913</c:v>
                </c:pt>
                <c:pt idx="6">
                  <c:v>1914</c:v>
                </c:pt>
                <c:pt idx="7">
                  <c:v>1915</c:v>
                </c:pt>
                <c:pt idx="8">
                  <c:v>1916</c:v>
                </c:pt>
                <c:pt idx="9">
                  <c:v>1917</c:v>
                </c:pt>
                <c:pt idx="10">
                  <c:v>1918</c:v>
                </c:pt>
                <c:pt idx="11">
                  <c:v>1919</c:v>
                </c:pt>
                <c:pt idx="12">
                  <c:v>1920</c:v>
                </c:pt>
                <c:pt idx="13">
                  <c:v>1921</c:v>
                </c:pt>
                <c:pt idx="14">
                  <c:v>1922</c:v>
                </c:pt>
                <c:pt idx="15">
                  <c:v>1923</c:v>
                </c:pt>
                <c:pt idx="16">
                  <c:v>1924</c:v>
                </c:pt>
                <c:pt idx="17">
                  <c:v>1925</c:v>
                </c:pt>
                <c:pt idx="18">
                  <c:v>1926</c:v>
                </c:pt>
                <c:pt idx="19">
                  <c:v>1927</c:v>
                </c:pt>
                <c:pt idx="20">
                  <c:v>1928</c:v>
                </c:pt>
                <c:pt idx="21">
                  <c:v>1929</c:v>
                </c:pt>
                <c:pt idx="22">
                  <c:v>1930</c:v>
                </c:pt>
                <c:pt idx="23">
                  <c:v>1931</c:v>
                </c:pt>
                <c:pt idx="24">
                  <c:v>1932</c:v>
                </c:pt>
                <c:pt idx="25">
                  <c:v>1933</c:v>
                </c:pt>
                <c:pt idx="26">
                  <c:v>1934</c:v>
                </c:pt>
                <c:pt idx="27">
                  <c:v>1935</c:v>
                </c:pt>
                <c:pt idx="28">
                  <c:v>1936</c:v>
                </c:pt>
                <c:pt idx="29">
                  <c:v>1937</c:v>
                </c:pt>
                <c:pt idx="30">
                  <c:v>1938</c:v>
                </c:pt>
                <c:pt idx="31">
                  <c:v>1939</c:v>
                </c:pt>
                <c:pt idx="32">
                  <c:v>1940</c:v>
                </c:pt>
                <c:pt idx="33">
                  <c:v>1941</c:v>
                </c:pt>
                <c:pt idx="34">
                  <c:v>1942</c:v>
                </c:pt>
                <c:pt idx="35">
                  <c:v>1943</c:v>
                </c:pt>
                <c:pt idx="36">
                  <c:v>1944</c:v>
                </c:pt>
                <c:pt idx="37">
                  <c:v>1945</c:v>
                </c:pt>
                <c:pt idx="38">
                  <c:v>1946</c:v>
                </c:pt>
                <c:pt idx="39">
                  <c:v>1947</c:v>
                </c:pt>
                <c:pt idx="40">
                  <c:v>1948</c:v>
                </c:pt>
                <c:pt idx="41">
                  <c:v>1949</c:v>
                </c:pt>
                <c:pt idx="42">
                  <c:v>1950</c:v>
                </c:pt>
                <c:pt idx="43">
                  <c:v>1951</c:v>
                </c:pt>
                <c:pt idx="44">
                  <c:v>1952</c:v>
                </c:pt>
                <c:pt idx="45">
                  <c:v>1953</c:v>
                </c:pt>
                <c:pt idx="46">
                  <c:v>1954</c:v>
                </c:pt>
                <c:pt idx="47">
                  <c:v>1955</c:v>
                </c:pt>
                <c:pt idx="48">
                  <c:v>1956</c:v>
                </c:pt>
                <c:pt idx="49">
                  <c:v>1957</c:v>
                </c:pt>
                <c:pt idx="50">
                  <c:v>1958</c:v>
                </c:pt>
                <c:pt idx="51">
                  <c:v>1959</c:v>
                </c:pt>
                <c:pt idx="52">
                  <c:v>1960</c:v>
                </c:pt>
                <c:pt idx="53">
                  <c:v>1961</c:v>
                </c:pt>
                <c:pt idx="54">
                  <c:v>1962</c:v>
                </c:pt>
                <c:pt idx="55">
                  <c:v>1963</c:v>
                </c:pt>
                <c:pt idx="56">
                  <c:v>1964</c:v>
                </c:pt>
                <c:pt idx="57">
                  <c:v>1965</c:v>
                </c:pt>
                <c:pt idx="58">
                  <c:v>1966</c:v>
                </c:pt>
                <c:pt idx="59">
                  <c:v>1967</c:v>
                </c:pt>
                <c:pt idx="60">
                  <c:v>1968</c:v>
                </c:pt>
                <c:pt idx="61">
                  <c:v>1969</c:v>
                </c:pt>
                <c:pt idx="62">
                  <c:v>1970</c:v>
                </c:pt>
                <c:pt idx="63">
                  <c:v>1971</c:v>
                </c:pt>
                <c:pt idx="64">
                  <c:v>1972</c:v>
                </c:pt>
                <c:pt idx="65">
                  <c:v>1973</c:v>
                </c:pt>
                <c:pt idx="66">
                  <c:v>1974</c:v>
                </c:pt>
                <c:pt idx="67">
                  <c:v>1975</c:v>
                </c:pt>
                <c:pt idx="68">
                  <c:v>1976</c:v>
                </c:pt>
                <c:pt idx="69">
                  <c:v>1977</c:v>
                </c:pt>
                <c:pt idx="70">
                  <c:v>1978</c:v>
                </c:pt>
                <c:pt idx="71">
                  <c:v>1979</c:v>
                </c:pt>
                <c:pt idx="72">
                  <c:v>1980</c:v>
                </c:pt>
                <c:pt idx="73">
                  <c:v>1981</c:v>
                </c:pt>
                <c:pt idx="74">
                  <c:v>1982</c:v>
                </c:pt>
                <c:pt idx="75">
                  <c:v>1983</c:v>
                </c:pt>
                <c:pt idx="76">
                  <c:v>1984</c:v>
                </c:pt>
                <c:pt idx="77">
                  <c:v>1985</c:v>
                </c:pt>
                <c:pt idx="78">
                  <c:v>1986</c:v>
                </c:pt>
                <c:pt idx="79">
                  <c:v>1987</c:v>
                </c:pt>
                <c:pt idx="80">
                  <c:v>1988</c:v>
                </c:pt>
                <c:pt idx="81">
                  <c:v>1989</c:v>
                </c:pt>
                <c:pt idx="82">
                  <c:v>1990</c:v>
                </c:pt>
                <c:pt idx="83">
                  <c:v>1991</c:v>
                </c:pt>
                <c:pt idx="84">
                  <c:v>1992</c:v>
                </c:pt>
                <c:pt idx="85">
                  <c:v>1993</c:v>
                </c:pt>
                <c:pt idx="86">
                  <c:v>1994</c:v>
                </c:pt>
                <c:pt idx="87">
                  <c:v>1995</c:v>
                </c:pt>
                <c:pt idx="88">
                  <c:v>1996</c:v>
                </c:pt>
                <c:pt idx="89">
                  <c:v>1997</c:v>
                </c:pt>
                <c:pt idx="90">
                  <c:v>1998</c:v>
                </c:pt>
                <c:pt idx="91">
                  <c:v>1999</c:v>
                </c:pt>
                <c:pt idx="92">
                  <c:v>2000</c:v>
                </c:pt>
                <c:pt idx="93">
                  <c:v>2001</c:v>
                </c:pt>
                <c:pt idx="94">
                  <c:v>2002</c:v>
                </c:pt>
                <c:pt idx="95">
                  <c:v>2003</c:v>
                </c:pt>
                <c:pt idx="96">
                  <c:v>2004</c:v>
                </c:pt>
                <c:pt idx="97">
                  <c:v>2005</c:v>
                </c:pt>
                <c:pt idx="98">
                  <c:v>2006</c:v>
                </c:pt>
                <c:pt idx="99">
                  <c:v>2007</c:v>
                </c:pt>
                <c:pt idx="100">
                  <c:v>2008</c:v>
                </c:pt>
              </c:numCache>
            </c:numRef>
          </c:cat>
          <c:val>
            <c:numRef>
              <c:f>'HD diagram Intl Paper'!$C$44:$CY$44</c:f>
              <c:numCache>
                <c:formatCode>General</c:formatCode>
                <c:ptCount val="101"/>
                <c:pt idx="0">
                  <c:v>0.29083569563335498</c:v>
                </c:pt>
                <c:pt idx="1">
                  <c:v>0.28231438989751123</c:v>
                </c:pt>
                <c:pt idx="2">
                  <c:v>0.30535946464350511</c:v>
                </c:pt>
                <c:pt idx="3">
                  <c:v>0.29824857206556998</c:v>
                </c:pt>
                <c:pt idx="4">
                  <c:v>0.29902735091667998</c:v>
                </c:pt>
                <c:pt idx="5">
                  <c:v>0.2897217589774651</c:v>
                </c:pt>
                <c:pt idx="6">
                  <c:v>0.28199071025615902</c:v>
                </c:pt>
                <c:pt idx="7">
                  <c:v>0.25516220390562511</c:v>
                </c:pt>
                <c:pt idx="8">
                  <c:v>0.19978153051071601</c:v>
                </c:pt>
                <c:pt idx="9">
                  <c:v>0.17842182974787801</c:v>
                </c:pt>
                <c:pt idx="10">
                  <c:v>0.20198348935615004</c:v>
                </c:pt>
                <c:pt idx="11">
                  <c:v>0.17749632148240213</c:v>
                </c:pt>
                <c:pt idx="12">
                  <c:v>8.3822928362505461E-2</c:v>
                </c:pt>
                <c:pt idx="13">
                  <c:v>0.22833591370413001</c:v>
                </c:pt>
                <c:pt idx="14">
                  <c:v>0.31611745539107711</c:v>
                </c:pt>
                <c:pt idx="15">
                  <c:v>0.29718917922811611</c:v>
                </c:pt>
                <c:pt idx="16">
                  <c:v>0.25977500547457699</c:v>
                </c:pt>
                <c:pt idx="17">
                  <c:v>0.32936769912946434</c:v>
                </c:pt>
                <c:pt idx="18">
                  <c:v>0.53218019993689969</c:v>
                </c:pt>
                <c:pt idx="19">
                  <c:v>0.37427986569464733</c:v>
                </c:pt>
                <c:pt idx="20">
                  <c:v>0.44197429208808908</c:v>
                </c:pt>
                <c:pt idx="21">
                  <c:v>0.25569386457496601</c:v>
                </c:pt>
                <c:pt idx="22">
                  <c:v>0.29299988607537408</c:v>
                </c:pt>
                <c:pt idx="23">
                  <c:v>0.32779051220687411</c:v>
                </c:pt>
                <c:pt idx="24">
                  <c:v>0.32540677695454634</c:v>
                </c:pt>
                <c:pt idx="25">
                  <c:v>0.31715775179019301</c:v>
                </c:pt>
                <c:pt idx="26">
                  <c:v>0.33446459006681123</c:v>
                </c:pt>
                <c:pt idx="27">
                  <c:v>0.40217640040638991</c:v>
                </c:pt>
                <c:pt idx="28">
                  <c:v>0.40495919846573791</c:v>
                </c:pt>
                <c:pt idx="29">
                  <c:v>0.40794611595128211</c:v>
                </c:pt>
                <c:pt idx="30">
                  <c:v>0.35870499535708322</c:v>
                </c:pt>
                <c:pt idx="31">
                  <c:v>0.3360117612565503</c:v>
                </c:pt>
                <c:pt idx="32">
                  <c:v>0.28860217117781123</c:v>
                </c:pt>
                <c:pt idx="33">
                  <c:v>0.277045025798419</c:v>
                </c:pt>
                <c:pt idx="34">
                  <c:v>0.2637960864439019</c:v>
                </c:pt>
                <c:pt idx="35">
                  <c:v>0.24662010257338801</c:v>
                </c:pt>
                <c:pt idx="36">
                  <c:v>0.22875879240359501</c:v>
                </c:pt>
                <c:pt idx="37">
                  <c:v>0.230438507425616</c:v>
                </c:pt>
                <c:pt idx="38">
                  <c:v>7.5755171503151003E-2</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5.8678660862726717E-2</c:v>
                </c:pt>
                <c:pt idx="59">
                  <c:v>0.16348731206204906</c:v>
                </c:pt>
                <c:pt idx="60">
                  <c:v>0.23946246122171699</c:v>
                </c:pt>
                <c:pt idx="61">
                  <c:v>0.27146422836119599</c:v>
                </c:pt>
                <c:pt idx="62">
                  <c:v>0.31172832267131101</c:v>
                </c:pt>
                <c:pt idx="63">
                  <c:v>0.30063810096756011</c:v>
                </c:pt>
                <c:pt idx="64">
                  <c:v>0.29307077952173011</c:v>
                </c:pt>
                <c:pt idx="65">
                  <c:v>0.28346456692931721</c:v>
                </c:pt>
                <c:pt idx="66">
                  <c:v>0.2978863694643073</c:v>
                </c:pt>
                <c:pt idx="67">
                  <c:v>0.38018557318183721</c:v>
                </c:pt>
                <c:pt idx="68">
                  <c:v>0.3276458951533141</c:v>
                </c:pt>
                <c:pt idx="69">
                  <c:v>0.3146161058445483</c:v>
                </c:pt>
                <c:pt idx="70">
                  <c:v>0.25941653479130899</c:v>
                </c:pt>
                <c:pt idx="71">
                  <c:v>0.22690695266440206</c:v>
                </c:pt>
                <c:pt idx="72">
                  <c:v>0.20048505068404501</c:v>
                </c:pt>
                <c:pt idx="73">
                  <c:v>0.16532303374079699</c:v>
                </c:pt>
                <c:pt idx="74">
                  <c:v>0.18912380899339701</c:v>
                </c:pt>
                <c:pt idx="75">
                  <c:v>0.177422955603671</c:v>
                </c:pt>
                <c:pt idx="76">
                  <c:v>0.18567593027351095</c:v>
                </c:pt>
                <c:pt idx="77">
                  <c:v>0.20880940553071806</c:v>
                </c:pt>
                <c:pt idx="78">
                  <c:v>0.26975025484198689</c:v>
                </c:pt>
                <c:pt idx="79">
                  <c:v>0.27462686567173811</c:v>
                </c:pt>
                <c:pt idx="80">
                  <c:v>0.22246882265905693</c:v>
                </c:pt>
                <c:pt idx="81">
                  <c:v>0.28846485926454923</c:v>
                </c:pt>
                <c:pt idx="82">
                  <c:v>0.30602092325720526</c:v>
                </c:pt>
                <c:pt idx="83">
                  <c:v>0.33799611806452712</c:v>
                </c:pt>
                <c:pt idx="84">
                  <c:v>0.33124734187992311</c:v>
                </c:pt>
                <c:pt idx="85">
                  <c:v>0.3421321628284531</c:v>
                </c:pt>
                <c:pt idx="86">
                  <c:v>0.36706660686267822</c:v>
                </c:pt>
                <c:pt idx="87">
                  <c:v>0.36197188972784433</c:v>
                </c:pt>
                <c:pt idx="88">
                  <c:v>0.36942517343918713</c:v>
                </c:pt>
                <c:pt idx="89">
                  <c:v>0.36689840771493215</c:v>
                </c:pt>
                <c:pt idx="90">
                  <c:v>0.35232964030977415</c:v>
                </c:pt>
                <c:pt idx="91">
                  <c:v>0.33847627857818113</c:v>
                </c:pt>
                <c:pt idx="92">
                  <c:v>0.3934550808615741</c:v>
                </c:pt>
                <c:pt idx="93">
                  <c:v>0.4095753269820771</c:v>
                </c:pt>
                <c:pt idx="94">
                  <c:v>0.43936434659092011</c:v>
                </c:pt>
                <c:pt idx="95">
                  <c:v>0.4373539760731881</c:v>
                </c:pt>
                <c:pt idx="96">
                  <c:v>0.42779904725721102</c:v>
                </c:pt>
                <c:pt idx="97">
                  <c:v>0.42417712279726211</c:v>
                </c:pt>
                <c:pt idx="98">
                  <c:v>0.30053257884663398</c:v>
                </c:pt>
                <c:pt idx="99">
                  <c:v>0.27401796431989123</c:v>
                </c:pt>
                <c:pt idx="100">
                  <c:v>0.44863077323229911</c:v>
                </c:pt>
              </c:numCache>
            </c:numRef>
          </c:val>
        </c:ser>
        <c:marker val="1"/>
        <c:axId val="169207296"/>
        <c:axId val="169208832"/>
      </c:lineChart>
      <c:catAx>
        <c:axId val="169207296"/>
        <c:scaling>
          <c:orientation val="minMax"/>
        </c:scaling>
        <c:axPos val="b"/>
        <c:numFmt formatCode="General" sourceLinked="1"/>
        <c:tickLblPos val="nextTo"/>
        <c:txPr>
          <a:bodyPr/>
          <a:lstStyle/>
          <a:p>
            <a:pPr>
              <a:defRPr lang="en-IN"/>
            </a:pPr>
            <a:endParaRPr lang="en-US"/>
          </a:p>
        </c:txPr>
        <c:crossAx val="169208832"/>
        <c:crosses val="autoZero"/>
        <c:auto val="1"/>
        <c:lblAlgn val="ctr"/>
        <c:lblOffset val="100"/>
      </c:catAx>
      <c:valAx>
        <c:axId val="169208832"/>
        <c:scaling>
          <c:orientation val="minMax"/>
        </c:scaling>
        <c:axPos val="l"/>
        <c:majorGridlines/>
        <c:numFmt formatCode="#,##0.000" sourceLinked="0"/>
        <c:tickLblPos val="nextTo"/>
        <c:txPr>
          <a:bodyPr/>
          <a:lstStyle/>
          <a:p>
            <a:pPr>
              <a:defRPr lang="en-IN"/>
            </a:pPr>
            <a:endParaRPr lang="en-US"/>
          </a:p>
        </c:txPr>
        <c:crossAx val="169207296"/>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diagram Foot Locker'!$B$47</c:f>
              <c:strCache>
                <c:ptCount val="1"/>
                <c:pt idx="0">
                  <c:v>TotDebttoTA </c:v>
                </c:pt>
              </c:strCache>
            </c:strRef>
          </c:tx>
          <c:spPr>
            <a:ln>
              <a:solidFill>
                <a:schemeClr val="tx1"/>
              </a:solidFill>
            </a:ln>
          </c:spPr>
          <c:marker>
            <c:symbol val="none"/>
          </c:marker>
          <c:cat>
            <c:numRef>
              <c:f>'HD diagram Foot Locker'!$C$46:$CU$46</c:f>
              <c:numCache>
                <c:formatCode>General</c:formatCode>
                <c:ptCount val="97"/>
                <c:pt idx="0">
                  <c:v>1912</c:v>
                </c:pt>
                <c:pt idx="1">
                  <c:v>1913</c:v>
                </c:pt>
                <c:pt idx="2">
                  <c:v>1914</c:v>
                </c:pt>
                <c:pt idx="3">
                  <c:v>1915</c:v>
                </c:pt>
                <c:pt idx="4">
                  <c:v>1916</c:v>
                </c:pt>
                <c:pt idx="5">
                  <c:v>1917</c:v>
                </c:pt>
                <c:pt idx="6">
                  <c:v>1918</c:v>
                </c:pt>
                <c:pt idx="7">
                  <c:v>1919</c:v>
                </c:pt>
                <c:pt idx="8">
                  <c:v>1920</c:v>
                </c:pt>
                <c:pt idx="9">
                  <c:v>1921</c:v>
                </c:pt>
                <c:pt idx="10">
                  <c:v>1922</c:v>
                </c:pt>
                <c:pt idx="11">
                  <c:v>1923</c:v>
                </c:pt>
                <c:pt idx="12">
                  <c:v>1924</c:v>
                </c:pt>
                <c:pt idx="13">
                  <c:v>1925</c:v>
                </c:pt>
                <c:pt idx="14">
                  <c:v>1926</c:v>
                </c:pt>
                <c:pt idx="15">
                  <c:v>1927</c:v>
                </c:pt>
                <c:pt idx="16">
                  <c:v>1928</c:v>
                </c:pt>
                <c:pt idx="17">
                  <c:v>1929</c:v>
                </c:pt>
                <c:pt idx="18">
                  <c:v>1930</c:v>
                </c:pt>
                <c:pt idx="19">
                  <c:v>1931</c:v>
                </c:pt>
                <c:pt idx="20">
                  <c:v>1932</c:v>
                </c:pt>
                <c:pt idx="21">
                  <c:v>1933</c:v>
                </c:pt>
                <c:pt idx="22">
                  <c:v>1934</c:v>
                </c:pt>
                <c:pt idx="23">
                  <c:v>1935</c:v>
                </c:pt>
                <c:pt idx="24">
                  <c:v>1936</c:v>
                </c:pt>
                <c:pt idx="25">
                  <c:v>1937</c:v>
                </c:pt>
                <c:pt idx="26">
                  <c:v>1938</c:v>
                </c:pt>
                <c:pt idx="27">
                  <c:v>1939</c:v>
                </c:pt>
                <c:pt idx="28">
                  <c:v>1940</c:v>
                </c:pt>
                <c:pt idx="29">
                  <c:v>1941</c:v>
                </c:pt>
                <c:pt idx="30">
                  <c:v>1942</c:v>
                </c:pt>
                <c:pt idx="31">
                  <c:v>1943</c:v>
                </c:pt>
                <c:pt idx="32">
                  <c:v>1944</c:v>
                </c:pt>
                <c:pt idx="33">
                  <c:v>1945</c:v>
                </c:pt>
                <c:pt idx="34">
                  <c:v>1946</c:v>
                </c:pt>
                <c:pt idx="35">
                  <c:v>1947</c:v>
                </c:pt>
                <c:pt idx="36">
                  <c:v>1948</c:v>
                </c:pt>
                <c:pt idx="37">
                  <c:v>1949</c:v>
                </c:pt>
                <c:pt idx="38">
                  <c:v>1950</c:v>
                </c:pt>
                <c:pt idx="39">
                  <c:v>1951</c:v>
                </c:pt>
                <c:pt idx="40">
                  <c:v>1952</c:v>
                </c:pt>
                <c:pt idx="41">
                  <c:v>1953</c:v>
                </c:pt>
                <c:pt idx="42">
                  <c:v>1954</c:v>
                </c:pt>
                <c:pt idx="43">
                  <c:v>1955</c:v>
                </c:pt>
                <c:pt idx="44">
                  <c:v>1956</c:v>
                </c:pt>
                <c:pt idx="45">
                  <c:v>1957</c:v>
                </c:pt>
                <c:pt idx="46">
                  <c:v>1958</c:v>
                </c:pt>
                <c:pt idx="47">
                  <c:v>1959</c:v>
                </c:pt>
                <c:pt idx="48">
                  <c:v>1960</c:v>
                </c:pt>
                <c:pt idx="49">
                  <c:v>1961</c:v>
                </c:pt>
                <c:pt idx="50">
                  <c:v>1962</c:v>
                </c:pt>
                <c:pt idx="51">
                  <c:v>1963</c:v>
                </c:pt>
                <c:pt idx="52">
                  <c:v>1964</c:v>
                </c:pt>
                <c:pt idx="53">
                  <c:v>1965</c:v>
                </c:pt>
                <c:pt idx="54">
                  <c:v>1966</c:v>
                </c:pt>
                <c:pt idx="55">
                  <c:v>1967</c:v>
                </c:pt>
                <c:pt idx="56">
                  <c:v>1968</c:v>
                </c:pt>
                <c:pt idx="57">
                  <c:v>1969</c:v>
                </c:pt>
                <c:pt idx="58">
                  <c:v>1970</c:v>
                </c:pt>
                <c:pt idx="59">
                  <c:v>1971</c:v>
                </c:pt>
                <c:pt idx="60">
                  <c:v>1972</c:v>
                </c:pt>
                <c:pt idx="61">
                  <c:v>1973</c:v>
                </c:pt>
                <c:pt idx="62">
                  <c:v>1974</c:v>
                </c:pt>
                <c:pt idx="63">
                  <c:v>1975</c:v>
                </c:pt>
                <c:pt idx="64">
                  <c:v>1976</c:v>
                </c:pt>
                <c:pt idx="65">
                  <c:v>1977</c:v>
                </c:pt>
                <c:pt idx="66">
                  <c:v>1978</c:v>
                </c:pt>
                <c:pt idx="67">
                  <c:v>1979</c:v>
                </c:pt>
                <c:pt idx="68">
                  <c:v>1980</c:v>
                </c:pt>
                <c:pt idx="69">
                  <c:v>1981</c:v>
                </c:pt>
                <c:pt idx="70">
                  <c:v>1982</c:v>
                </c:pt>
                <c:pt idx="71">
                  <c:v>1983</c:v>
                </c:pt>
                <c:pt idx="72">
                  <c:v>1984</c:v>
                </c:pt>
                <c:pt idx="73">
                  <c:v>1985</c:v>
                </c:pt>
                <c:pt idx="74">
                  <c:v>1986</c:v>
                </c:pt>
                <c:pt idx="75">
                  <c:v>1987</c:v>
                </c:pt>
                <c:pt idx="76">
                  <c:v>1988</c:v>
                </c:pt>
                <c:pt idx="77">
                  <c:v>1989</c:v>
                </c:pt>
                <c:pt idx="78">
                  <c:v>1990</c:v>
                </c:pt>
                <c:pt idx="79">
                  <c:v>1991</c:v>
                </c:pt>
                <c:pt idx="80">
                  <c:v>1992</c:v>
                </c:pt>
                <c:pt idx="81">
                  <c:v>1993</c:v>
                </c:pt>
                <c:pt idx="82">
                  <c:v>1994</c:v>
                </c:pt>
                <c:pt idx="83">
                  <c:v>1995</c:v>
                </c:pt>
                <c:pt idx="84">
                  <c:v>1996</c:v>
                </c:pt>
                <c:pt idx="85">
                  <c:v>1997</c:v>
                </c:pt>
                <c:pt idx="86">
                  <c:v>1998</c:v>
                </c:pt>
                <c:pt idx="87">
                  <c:v>1999</c:v>
                </c:pt>
                <c:pt idx="88">
                  <c:v>2000</c:v>
                </c:pt>
                <c:pt idx="89">
                  <c:v>2001</c:v>
                </c:pt>
                <c:pt idx="90">
                  <c:v>2002</c:v>
                </c:pt>
                <c:pt idx="91">
                  <c:v>2003</c:v>
                </c:pt>
                <c:pt idx="92">
                  <c:v>2004</c:v>
                </c:pt>
                <c:pt idx="93">
                  <c:v>2005</c:v>
                </c:pt>
                <c:pt idx="94">
                  <c:v>2006</c:v>
                </c:pt>
                <c:pt idx="95">
                  <c:v>2007</c:v>
                </c:pt>
                <c:pt idx="96">
                  <c:v>2008</c:v>
                </c:pt>
              </c:numCache>
            </c:numRef>
          </c:cat>
          <c:val>
            <c:numRef>
              <c:f>'HD diagram Foot Locker'!$C$47:$CU$47</c:f>
              <c:numCache>
                <c:formatCode>General</c:formatCode>
                <c:ptCount val="97"/>
                <c:pt idx="0">
                  <c:v>4.5358620403851517E-3</c:v>
                </c:pt>
                <c:pt idx="1">
                  <c:v>8.2664914555444346E-3</c:v>
                </c:pt>
                <c:pt idx="2">
                  <c:v>1.0620613982819899E-2</c:v>
                </c:pt>
                <c:pt idx="3">
                  <c:v>1.0977158691069206E-2</c:v>
                </c:pt>
                <c:pt idx="4">
                  <c:v>1.1155798007818404E-2</c:v>
                </c:pt>
                <c:pt idx="5">
                  <c:v>1.06765684224619E-2</c:v>
                </c:pt>
                <c:pt idx="6">
                  <c:v>1.0975360564579798E-2</c:v>
                </c:pt>
                <c:pt idx="7">
                  <c:v>1.3932365049459704E-2</c:v>
                </c:pt>
                <c:pt idx="8">
                  <c:v>1.6267261748178306E-2</c:v>
                </c:pt>
                <c:pt idx="9">
                  <c:v>1.860212119749001E-2</c:v>
                </c:pt>
                <c:pt idx="10">
                  <c:v>3.0370156743038793E-2</c:v>
                </c:pt>
                <c:pt idx="11">
                  <c:v>3.1029420440894108E-2</c:v>
                </c:pt>
                <c:pt idx="12">
                  <c:v>3.5733266168765612E-2</c:v>
                </c:pt>
                <c:pt idx="13">
                  <c:v>3.4447475191873612E-2</c:v>
                </c:pt>
                <c:pt idx="14" formatCode="_-* #,##0.00_-;\-* #,##0.00_-;_-* &quot;-&quot;??_-;_-@_-">
                  <c:v>2.7990658208787392E-2</c:v>
                </c:pt>
                <c:pt idx="15">
                  <c:v>2.5746841594305001E-2</c:v>
                </c:pt>
                <c:pt idx="16">
                  <c:v>2.3131128141104601E-2</c:v>
                </c:pt>
                <c:pt idx="17">
                  <c:v>2.1059943282052313E-2</c:v>
                </c:pt>
                <c:pt idx="18">
                  <c:v>1.9432833038706201E-2</c:v>
                </c:pt>
                <c:pt idx="19">
                  <c:v>1.8998621452021299E-2</c:v>
                </c:pt>
                <c:pt idx="20">
                  <c:v>1.3396027628166404E-2</c:v>
                </c:pt>
                <c:pt idx="21">
                  <c:v>9.5835416095374232E-3</c:v>
                </c:pt>
                <c:pt idx="22">
                  <c:v>2.7911301426741318E-3</c:v>
                </c:pt>
                <c:pt idx="23">
                  <c:v>2.6636745487147026E-3</c:v>
                </c:pt>
                <c:pt idx="24">
                  <c:v>1.9981815516607218E-3</c:v>
                </c:pt>
                <c:pt idx="25">
                  <c:v>2.639086148127651E-2</c:v>
                </c:pt>
                <c:pt idx="26">
                  <c:v>3.1445963803357214E-2</c:v>
                </c:pt>
                <c:pt idx="27">
                  <c:v>3.2043789625622612E-2</c:v>
                </c:pt>
                <c:pt idx="28">
                  <c:v>6.3125538688786995E-2</c:v>
                </c:pt>
                <c:pt idx="29">
                  <c:v>6.047279973024712E-2</c:v>
                </c:pt>
                <c:pt idx="30">
                  <c:v>4.6258699461022797E-2</c:v>
                </c:pt>
                <c:pt idx="31">
                  <c:v>7.681295722078213E-2</c:v>
                </c:pt>
                <c:pt idx="32">
                  <c:v>4.6581734697529603E-2</c:v>
                </c:pt>
                <c:pt idx="33">
                  <c:v>4.22776120829398E-2</c:v>
                </c:pt>
                <c:pt idx="34">
                  <c:v>9.0438756605035579E-3</c:v>
                </c:pt>
                <c:pt idx="35">
                  <c:v>8.5210006681861496E-3</c:v>
                </c:pt>
                <c:pt idx="36">
                  <c:v>9.1259447223065396E-3</c:v>
                </c:pt>
                <c:pt idx="37">
                  <c:v>2.0245744080351312E-2</c:v>
                </c:pt>
                <c:pt idx="38">
                  <c:v>2.4712437007160401E-2</c:v>
                </c:pt>
                <c:pt idx="39">
                  <c:v>3.2653797582555925E-2</c:v>
                </c:pt>
                <c:pt idx="40">
                  <c:v>3.0480241006556809E-2</c:v>
                </c:pt>
                <c:pt idx="41">
                  <c:v>7.5159605339524094E-2</c:v>
                </c:pt>
                <c:pt idx="42">
                  <c:v>0.11034963410383998</c:v>
                </c:pt>
                <c:pt idx="43">
                  <c:v>0.10690321846923906</c:v>
                </c:pt>
                <c:pt idx="44">
                  <c:v>0.10861034164358603</c:v>
                </c:pt>
                <c:pt idx="45">
                  <c:v>0.12644691875208006</c:v>
                </c:pt>
                <c:pt idx="46">
                  <c:v>0.12437245429572798</c:v>
                </c:pt>
                <c:pt idx="47">
                  <c:v>0.103807868541634</c:v>
                </c:pt>
                <c:pt idx="48">
                  <c:v>0.19266877279372593</c:v>
                </c:pt>
                <c:pt idx="49">
                  <c:v>0.18700596853851101</c:v>
                </c:pt>
                <c:pt idx="50">
                  <c:v>0.17663850058247207</c:v>
                </c:pt>
                <c:pt idx="51">
                  <c:v>0.20850090382550004</c:v>
                </c:pt>
                <c:pt idx="52">
                  <c:v>0.18670214007335006</c:v>
                </c:pt>
                <c:pt idx="53">
                  <c:v>0.16545263342764299</c:v>
                </c:pt>
                <c:pt idx="54">
                  <c:v>0.15356513917681908</c:v>
                </c:pt>
                <c:pt idx="55">
                  <c:v>0.15029368960807099</c:v>
                </c:pt>
                <c:pt idx="56">
                  <c:v>0.14320078442991299</c:v>
                </c:pt>
                <c:pt idx="57">
                  <c:v>0.19398469423835493</c:v>
                </c:pt>
                <c:pt idx="58">
                  <c:v>0.220817142972519</c:v>
                </c:pt>
                <c:pt idx="59">
                  <c:v>0.21126048388690613</c:v>
                </c:pt>
                <c:pt idx="60">
                  <c:v>0.23913214118550005</c:v>
                </c:pt>
                <c:pt idx="61">
                  <c:v>0.28681722848718799</c:v>
                </c:pt>
                <c:pt idx="62">
                  <c:v>0.32005914684716202</c:v>
                </c:pt>
                <c:pt idx="63">
                  <c:v>0.29498293900153211</c:v>
                </c:pt>
                <c:pt idx="64">
                  <c:v>0.21530963302753706</c:v>
                </c:pt>
                <c:pt idx="65">
                  <c:v>0.21560834612953506</c:v>
                </c:pt>
                <c:pt idx="66">
                  <c:v>0.2952172079166821</c:v>
                </c:pt>
                <c:pt idx="67">
                  <c:v>0.28493337888623199</c:v>
                </c:pt>
                <c:pt idx="68">
                  <c:v>0.31147540983610911</c:v>
                </c:pt>
                <c:pt idx="69">
                  <c:v>0.2835772490206081</c:v>
                </c:pt>
                <c:pt idx="70">
                  <c:v>0.22016865401018296</c:v>
                </c:pt>
                <c:pt idx="71">
                  <c:v>0.21446700507622815</c:v>
                </c:pt>
                <c:pt idx="72">
                  <c:v>0.18260493292946806</c:v>
                </c:pt>
                <c:pt idx="73">
                  <c:v>0.14595660749507106</c:v>
                </c:pt>
                <c:pt idx="74">
                  <c:v>0.13192982456141306</c:v>
                </c:pt>
                <c:pt idx="75">
                  <c:v>0.11003334343740502</c:v>
                </c:pt>
                <c:pt idx="76">
                  <c:v>0.10466760961810502</c:v>
                </c:pt>
                <c:pt idx="77">
                  <c:v>8.318402866649896E-2</c:v>
                </c:pt>
                <c:pt idx="78">
                  <c:v>6.9454123112659694E-2</c:v>
                </c:pt>
                <c:pt idx="79">
                  <c:v>0.11823300129926402</c:v>
                </c:pt>
                <c:pt idx="80">
                  <c:v>0.11871270247230603</c:v>
                </c:pt>
                <c:pt idx="81">
                  <c:v>0.19616808186370599</c:v>
                </c:pt>
                <c:pt idx="82">
                  <c:v>0.28468727534152011</c:v>
                </c:pt>
                <c:pt idx="83">
                  <c:v>0.203365658870508</c:v>
                </c:pt>
                <c:pt idx="84">
                  <c:v>0.17174913693901606</c:v>
                </c:pt>
                <c:pt idx="85">
                  <c:v>0.17504714016350606</c:v>
                </c:pt>
                <c:pt idx="86">
                  <c:v>0.26668984700973608</c:v>
                </c:pt>
                <c:pt idx="87">
                  <c:v>0.19443339960246012</c:v>
                </c:pt>
                <c:pt idx="88">
                  <c:v>0.14023297491039399</c:v>
                </c:pt>
                <c:pt idx="89">
                  <c:v>0.17423580786028706</c:v>
                </c:pt>
                <c:pt idx="90">
                  <c:v>0.14360418342726111</c:v>
                </c:pt>
                <c:pt idx="91">
                  <c:v>0.12458162885831403</c:v>
                </c:pt>
                <c:pt idx="92">
                  <c:v>0.11275872721655904</c:v>
                </c:pt>
                <c:pt idx="93">
                  <c:v>9.8429951690821207E-2</c:v>
                </c:pt>
                <c:pt idx="94">
                  <c:v>7.2022160664819895E-2</c:v>
                </c:pt>
                <c:pt idx="95">
                  <c:v>6.8041871921182301E-2</c:v>
                </c:pt>
                <c:pt idx="96">
                  <c:v>4.9356969064998917E-2</c:v>
                </c:pt>
              </c:numCache>
            </c:numRef>
          </c:val>
        </c:ser>
        <c:marker val="1"/>
        <c:axId val="140212480"/>
        <c:axId val="140226560"/>
      </c:lineChart>
      <c:catAx>
        <c:axId val="140212480"/>
        <c:scaling>
          <c:orientation val="minMax"/>
        </c:scaling>
        <c:axPos val="b"/>
        <c:numFmt formatCode="General" sourceLinked="1"/>
        <c:tickLblPos val="nextTo"/>
        <c:txPr>
          <a:bodyPr/>
          <a:lstStyle/>
          <a:p>
            <a:pPr>
              <a:defRPr lang="en-IN"/>
            </a:pPr>
            <a:endParaRPr lang="en-US"/>
          </a:p>
        </c:txPr>
        <c:crossAx val="140226560"/>
        <c:crosses val="autoZero"/>
        <c:auto val="1"/>
        <c:lblAlgn val="ctr"/>
        <c:lblOffset val="100"/>
      </c:catAx>
      <c:valAx>
        <c:axId val="140226560"/>
        <c:scaling>
          <c:orientation val="minMax"/>
        </c:scaling>
        <c:axPos val="l"/>
        <c:majorGridlines/>
        <c:numFmt formatCode="#,##0.000" sourceLinked="0"/>
        <c:tickLblPos val="nextTo"/>
        <c:txPr>
          <a:bodyPr/>
          <a:lstStyle/>
          <a:p>
            <a:pPr>
              <a:defRPr lang="en-IN"/>
            </a:pPr>
            <a:endParaRPr lang="en-US"/>
          </a:p>
        </c:txPr>
        <c:crossAx val="140212480"/>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diagram'!$B$35</c:f>
              <c:strCache>
                <c:ptCount val="1"/>
                <c:pt idx="0">
                  <c:v>TotDebttoTA</c:v>
                </c:pt>
              </c:strCache>
            </c:strRef>
          </c:tx>
          <c:spPr>
            <a:ln>
              <a:solidFill>
                <a:schemeClr val="tx1"/>
              </a:solidFill>
            </a:ln>
          </c:spPr>
          <c:marker>
            <c:symbol val="none"/>
          </c:marker>
          <c:cat>
            <c:numRef>
              <c:f>'HD diagram'!$C$34:$CN$34</c:f>
              <c:numCache>
                <c:formatCode>General</c:formatCode>
                <c:ptCount val="90"/>
                <c:pt idx="0">
                  <c:v>1919</c:v>
                </c:pt>
                <c:pt idx="1">
                  <c:v>1920</c:v>
                </c:pt>
                <c:pt idx="2">
                  <c:v>1921</c:v>
                </c:pt>
                <c:pt idx="3">
                  <c:v>1922</c:v>
                </c:pt>
                <c:pt idx="4">
                  <c:v>1923</c:v>
                </c:pt>
                <c:pt idx="5">
                  <c:v>1924</c:v>
                </c:pt>
                <c:pt idx="6">
                  <c:v>1925</c:v>
                </c:pt>
                <c:pt idx="7">
                  <c:v>1926</c:v>
                </c:pt>
                <c:pt idx="8">
                  <c:v>1927</c:v>
                </c:pt>
                <c:pt idx="9">
                  <c:v>1928</c:v>
                </c:pt>
                <c:pt idx="10">
                  <c:v>1929</c:v>
                </c:pt>
                <c:pt idx="11">
                  <c:v>1930</c:v>
                </c:pt>
                <c:pt idx="12">
                  <c:v>1931</c:v>
                </c:pt>
                <c:pt idx="13">
                  <c:v>1932</c:v>
                </c:pt>
                <c:pt idx="14">
                  <c:v>1933</c:v>
                </c:pt>
                <c:pt idx="15">
                  <c:v>1934</c:v>
                </c:pt>
                <c:pt idx="16">
                  <c:v>1935</c:v>
                </c:pt>
                <c:pt idx="17">
                  <c:v>1936</c:v>
                </c:pt>
                <c:pt idx="18">
                  <c:v>1937</c:v>
                </c:pt>
                <c:pt idx="19">
                  <c:v>1938</c:v>
                </c:pt>
                <c:pt idx="20">
                  <c:v>1939</c:v>
                </c:pt>
                <c:pt idx="21">
                  <c:v>1940</c:v>
                </c:pt>
                <c:pt idx="22">
                  <c:v>1941</c:v>
                </c:pt>
                <c:pt idx="23">
                  <c:v>1942</c:v>
                </c:pt>
                <c:pt idx="24">
                  <c:v>1943</c:v>
                </c:pt>
                <c:pt idx="25">
                  <c:v>1944</c:v>
                </c:pt>
                <c:pt idx="26">
                  <c:v>1945</c:v>
                </c:pt>
                <c:pt idx="27">
                  <c:v>1946</c:v>
                </c:pt>
                <c:pt idx="28">
                  <c:v>1947</c:v>
                </c:pt>
                <c:pt idx="29">
                  <c:v>1948</c:v>
                </c:pt>
                <c:pt idx="30">
                  <c:v>1949</c:v>
                </c:pt>
                <c:pt idx="31">
                  <c:v>1950</c:v>
                </c:pt>
                <c:pt idx="32">
                  <c:v>1951</c:v>
                </c:pt>
                <c:pt idx="33">
                  <c:v>1952</c:v>
                </c:pt>
                <c:pt idx="34">
                  <c:v>1953</c:v>
                </c:pt>
                <c:pt idx="35">
                  <c:v>1954</c:v>
                </c:pt>
                <c:pt idx="36">
                  <c:v>1955</c:v>
                </c:pt>
                <c:pt idx="37">
                  <c:v>1956</c:v>
                </c:pt>
                <c:pt idx="38">
                  <c:v>1957</c:v>
                </c:pt>
                <c:pt idx="39">
                  <c:v>1958</c:v>
                </c:pt>
                <c:pt idx="40">
                  <c:v>1959</c:v>
                </c:pt>
                <c:pt idx="41">
                  <c:v>1960</c:v>
                </c:pt>
                <c:pt idx="42">
                  <c:v>1961</c:v>
                </c:pt>
                <c:pt idx="43">
                  <c:v>1962</c:v>
                </c:pt>
                <c:pt idx="44">
                  <c:v>1963</c:v>
                </c:pt>
                <c:pt idx="45">
                  <c:v>1964</c:v>
                </c:pt>
                <c:pt idx="46">
                  <c:v>1965</c:v>
                </c:pt>
                <c:pt idx="47">
                  <c:v>1966</c:v>
                </c:pt>
                <c:pt idx="48">
                  <c:v>1967</c:v>
                </c:pt>
                <c:pt idx="49">
                  <c:v>1968</c:v>
                </c:pt>
                <c:pt idx="50">
                  <c:v>1969</c:v>
                </c:pt>
                <c:pt idx="51">
                  <c:v>1970</c:v>
                </c:pt>
                <c:pt idx="52">
                  <c:v>1971</c:v>
                </c:pt>
                <c:pt idx="53">
                  <c:v>1972</c:v>
                </c:pt>
                <c:pt idx="54">
                  <c:v>1973</c:v>
                </c:pt>
                <c:pt idx="55">
                  <c:v>1974</c:v>
                </c:pt>
                <c:pt idx="56">
                  <c:v>1975</c:v>
                </c:pt>
                <c:pt idx="57">
                  <c:v>1976</c:v>
                </c:pt>
                <c:pt idx="58">
                  <c:v>1977</c:v>
                </c:pt>
                <c:pt idx="59">
                  <c:v>1978</c:v>
                </c:pt>
                <c:pt idx="60">
                  <c:v>1979</c:v>
                </c:pt>
                <c:pt idx="61">
                  <c:v>1980</c:v>
                </c:pt>
                <c:pt idx="62">
                  <c:v>1981</c:v>
                </c:pt>
                <c:pt idx="63">
                  <c:v>1982</c:v>
                </c:pt>
                <c:pt idx="64">
                  <c:v>1983</c:v>
                </c:pt>
                <c:pt idx="65">
                  <c:v>1984</c:v>
                </c:pt>
                <c:pt idx="66">
                  <c:v>1985</c:v>
                </c:pt>
                <c:pt idx="67">
                  <c:v>1986</c:v>
                </c:pt>
                <c:pt idx="68">
                  <c:v>1987</c:v>
                </c:pt>
                <c:pt idx="69">
                  <c:v>1988</c:v>
                </c:pt>
                <c:pt idx="70">
                  <c:v>1989</c:v>
                </c:pt>
                <c:pt idx="71">
                  <c:v>1990</c:v>
                </c:pt>
                <c:pt idx="72">
                  <c:v>1991</c:v>
                </c:pt>
                <c:pt idx="73">
                  <c:v>1992</c:v>
                </c:pt>
                <c:pt idx="74">
                  <c:v>1993</c:v>
                </c:pt>
                <c:pt idx="75">
                  <c:v>1994</c:v>
                </c:pt>
                <c:pt idx="76">
                  <c:v>1995</c:v>
                </c:pt>
                <c:pt idx="77">
                  <c:v>1996</c:v>
                </c:pt>
                <c:pt idx="78">
                  <c:v>1997</c:v>
                </c:pt>
                <c:pt idx="79">
                  <c:v>1998</c:v>
                </c:pt>
                <c:pt idx="80">
                  <c:v>1999</c:v>
                </c:pt>
                <c:pt idx="81">
                  <c:v>2000</c:v>
                </c:pt>
                <c:pt idx="82">
                  <c:v>2001</c:v>
                </c:pt>
                <c:pt idx="83">
                  <c:v>2002</c:v>
                </c:pt>
                <c:pt idx="84">
                  <c:v>2003</c:v>
                </c:pt>
                <c:pt idx="85">
                  <c:v>2004</c:v>
                </c:pt>
                <c:pt idx="86">
                  <c:v>2005</c:v>
                </c:pt>
                <c:pt idx="87">
                  <c:v>2006</c:v>
                </c:pt>
                <c:pt idx="88">
                  <c:v>2007</c:v>
                </c:pt>
                <c:pt idx="89">
                  <c:v>2008</c:v>
                </c:pt>
              </c:numCache>
            </c:numRef>
          </c:cat>
          <c:val>
            <c:numRef>
              <c:f>'HD diagram'!$C$35:$CN$35</c:f>
              <c:numCache>
                <c:formatCode>General</c:formatCode>
                <c:ptCount val="90"/>
                <c:pt idx="0">
                  <c:v>4.126792443622692E-2</c:v>
                </c:pt>
                <c:pt idx="1">
                  <c:v>0.20916275515659399</c:v>
                </c:pt>
                <c:pt idx="2">
                  <c:v>6.328508835936969E-2</c:v>
                </c:pt>
                <c:pt idx="3">
                  <c:v>2.4327825465096401E-3</c:v>
                </c:pt>
                <c:pt idx="4">
                  <c:v>3.6154336664995209E-3</c:v>
                </c:pt>
                <c:pt idx="5" formatCode="0.000000">
                  <c:v>3.5829392222113933E-4</c:v>
                </c:pt>
                <c:pt idx="6" formatCode="0.000000">
                  <c:v>3.320003459081431E-4</c:v>
                </c:pt>
                <c:pt idx="7">
                  <c:v>2.8530785269519212E-4</c:v>
                </c:pt>
                <c:pt idx="8">
                  <c:v>0</c:v>
                </c:pt>
                <c:pt idx="9">
                  <c:v>0</c:v>
                </c:pt>
                <c:pt idx="10">
                  <c:v>0</c:v>
                </c:pt>
                <c:pt idx="11">
                  <c:v>0</c:v>
                </c:pt>
                <c:pt idx="12">
                  <c:v>0</c:v>
                </c:pt>
                <c:pt idx="13">
                  <c:v>9.3902674831527991E-2</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9.4721441078699786E-3</c:v>
                </c:pt>
                <c:pt idx="29">
                  <c:v>2.8581753074032292E-2</c:v>
                </c:pt>
                <c:pt idx="30">
                  <c:v>2.2861134744945402E-2</c:v>
                </c:pt>
                <c:pt idx="31">
                  <c:v>1.4374471392781201E-2</c:v>
                </c:pt>
                <c:pt idx="32">
                  <c:v>1.2663398692811401E-2</c:v>
                </c:pt>
                <c:pt idx="33">
                  <c:v>1.03709613083367E-2</c:v>
                </c:pt>
                <c:pt idx="34">
                  <c:v>1.1932255581216304E-2</c:v>
                </c:pt>
                <c:pt idx="35">
                  <c:v>3.8759689922480598E-4</c:v>
                </c:pt>
                <c:pt idx="36">
                  <c:v>3.7678975131882019E-4</c:v>
                </c:pt>
                <c:pt idx="37">
                  <c:v>4.0116703136397116E-3</c:v>
                </c:pt>
                <c:pt idx="38">
                  <c:v>5.2065255119750102E-3</c:v>
                </c:pt>
                <c:pt idx="39">
                  <c:v>9.8846787479406895E-3</c:v>
                </c:pt>
                <c:pt idx="40">
                  <c:v>6.1255742725880285E-3</c:v>
                </c:pt>
                <c:pt idx="41">
                  <c:v>7.2624381042207004E-2</c:v>
                </c:pt>
                <c:pt idx="42">
                  <c:v>4.5846572855197512E-2</c:v>
                </c:pt>
                <c:pt idx="43">
                  <c:v>3.2079646017703627E-2</c:v>
                </c:pt>
                <c:pt idx="44">
                  <c:v>1.6839817880794698E-2</c:v>
                </c:pt>
                <c:pt idx="45">
                  <c:v>4.3872005720414699E-2</c:v>
                </c:pt>
                <c:pt idx="46">
                  <c:v>3.2705370587257428E-2</c:v>
                </c:pt>
                <c:pt idx="47">
                  <c:v>3.1454791635324206E-2</c:v>
                </c:pt>
                <c:pt idx="48">
                  <c:v>2.5889074693422602E-2</c:v>
                </c:pt>
                <c:pt idx="49">
                  <c:v>3.8541329011345202E-2</c:v>
                </c:pt>
                <c:pt idx="50">
                  <c:v>4.0358698036855413E-2</c:v>
                </c:pt>
                <c:pt idx="51">
                  <c:v>3.3019247805428115E-2</c:v>
                </c:pt>
                <c:pt idx="52">
                  <c:v>3.1503610973460515E-2</c:v>
                </c:pt>
                <c:pt idx="53">
                  <c:v>2.8051831216461699E-2</c:v>
                </c:pt>
                <c:pt idx="54">
                  <c:v>1.7406527142879703E-2</c:v>
                </c:pt>
                <c:pt idx="55">
                  <c:v>3.9617191120646114E-2</c:v>
                </c:pt>
                <c:pt idx="56">
                  <c:v>1.9087342594887303E-2</c:v>
                </c:pt>
                <c:pt idx="57">
                  <c:v>2.0983529718391E-2</c:v>
                </c:pt>
                <c:pt idx="58">
                  <c:v>2.5027395283022315E-2</c:v>
                </c:pt>
                <c:pt idx="59">
                  <c:v>2.67697018129106E-2</c:v>
                </c:pt>
                <c:pt idx="60">
                  <c:v>4.7374780465888812E-2</c:v>
                </c:pt>
                <c:pt idx="61">
                  <c:v>6.7040188704672377E-2</c:v>
                </c:pt>
                <c:pt idx="62">
                  <c:v>6.520456656383658E-2</c:v>
                </c:pt>
                <c:pt idx="63">
                  <c:v>0.11852373031833703</c:v>
                </c:pt>
                <c:pt idx="64">
                  <c:v>0.11857710836574797</c:v>
                </c:pt>
                <c:pt idx="65">
                  <c:v>0.22868455738047797</c:v>
                </c:pt>
                <c:pt idx="66">
                  <c:v>0.19069081738160196</c:v>
                </c:pt>
                <c:pt idx="67">
                  <c:v>0.20735454956062099</c:v>
                </c:pt>
                <c:pt idx="68">
                  <c:v>0.32342164977575522</c:v>
                </c:pt>
                <c:pt idx="69">
                  <c:v>0.28514409286109599</c:v>
                </c:pt>
                <c:pt idx="70">
                  <c:v>0.239162739528087</c:v>
                </c:pt>
                <c:pt idx="71">
                  <c:v>0.27340944949697599</c:v>
                </c:pt>
                <c:pt idx="72">
                  <c:v>0.22377804959840306</c:v>
                </c:pt>
                <c:pt idx="73">
                  <c:v>0.29020694477546011</c:v>
                </c:pt>
                <c:pt idx="74">
                  <c:v>0.25788203976377411</c:v>
                </c:pt>
                <c:pt idx="75">
                  <c:v>0.25293736034022901</c:v>
                </c:pt>
                <c:pt idx="76">
                  <c:v>0.27019480087761211</c:v>
                </c:pt>
                <c:pt idx="77">
                  <c:v>0.279252521502382</c:v>
                </c:pt>
                <c:pt idx="78">
                  <c:v>0.22874852420306993</c:v>
                </c:pt>
                <c:pt idx="79">
                  <c:v>0.26894750587620808</c:v>
                </c:pt>
                <c:pt idx="80">
                  <c:v>0.28798039125011221</c:v>
                </c:pt>
                <c:pt idx="81">
                  <c:v>0.27123932034174891</c:v>
                </c:pt>
                <c:pt idx="82">
                  <c:v>0.22830887273051695</c:v>
                </c:pt>
                <c:pt idx="83">
                  <c:v>0.21860332231337501</c:v>
                </c:pt>
                <c:pt idx="84">
                  <c:v>0.19833955087411301</c:v>
                </c:pt>
                <c:pt idx="85">
                  <c:v>0.22913142018067501</c:v>
                </c:pt>
                <c:pt idx="86">
                  <c:v>0.19369966357426899</c:v>
                </c:pt>
                <c:pt idx="87">
                  <c:v>0.15292193705570906</c:v>
                </c:pt>
                <c:pt idx="88">
                  <c:v>0.21560470544731805</c:v>
                </c:pt>
                <c:pt idx="89">
                  <c:v>0.22981811002245905</c:v>
                </c:pt>
              </c:numCache>
            </c:numRef>
          </c:val>
        </c:ser>
        <c:marker val="1"/>
        <c:axId val="169349888"/>
        <c:axId val="169351424"/>
      </c:lineChart>
      <c:catAx>
        <c:axId val="169349888"/>
        <c:scaling>
          <c:orientation val="minMax"/>
        </c:scaling>
        <c:axPos val="b"/>
        <c:numFmt formatCode="General" sourceLinked="1"/>
        <c:tickLblPos val="nextTo"/>
        <c:txPr>
          <a:bodyPr/>
          <a:lstStyle/>
          <a:p>
            <a:pPr>
              <a:defRPr lang="en-IN"/>
            </a:pPr>
            <a:endParaRPr lang="en-US"/>
          </a:p>
        </c:txPr>
        <c:crossAx val="169351424"/>
        <c:crosses val="autoZero"/>
        <c:auto val="1"/>
        <c:lblAlgn val="ctr"/>
        <c:lblOffset val="100"/>
      </c:catAx>
      <c:valAx>
        <c:axId val="169351424"/>
        <c:scaling>
          <c:orientation val="minMax"/>
        </c:scaling>
        <c:axPos val="l"/>
        <c:majorGridlines/>
        <c:numFmt formatCode="#,##0.000" sourceLinked="0"/>
        <c:tickLblPos val="nextTo"/>
        <c:txPr>
          <a:bodyPr/>
          <a:lstStyle/>
          <a:p>
            <a:pPr>
              <a:defRPr lang="en-IN"/>
            </a:pPr>
            <a:endParaRPr lang="en-US"/>
          </a:p>
        </c:txPr>
        <c:crossAx val="169349888"/>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lineChart>
        <c:grouping val="standard"/>
        <c:ser>
          <c:idx val="0"/>
          <c:order val="0"/>
          <c:tx>
            <c:strRef>
              <c:f>'Random var pooled'!$A$2</c:f>
              <c:strCache>
                <c:ptCount val="1"/>
                <c:pt idx="0">
                  <c:v>Real data</c:v>
                </c:pt>
              </c:strCache>
            </c:strRef>
          </c:tx>
          <c:spPr>
            <a:ln w="50800">
              <a:solidFill>
                <a:schemeClr val="tx1"/>
              </a:solidFill>
            </a:ln>
          </c:spPr>
          <c:marker>
            <c:symbol val="none"/>
          </c:marker>
          <c:cat>
            <c:numRef>
              <c:f>'Random var pooled'!$B$1:$AO$1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'Random var pooled'!$B$2:$AO$2</c:f>
              <c:numCache>
                <c:formatCode>General</c:formatCode>
                <c:ptCount val="40"/>
                <c:pt idx="0">
                  <c:v>0.74400000000000022</c:v>
                </c:pt>
                <c:pt idx="1">
                  <c:v>0.59099999999999997</c:v>
                </c:pt>
                <c:pt idx="2">
                  <c:v>0.49100000000000016</c:v>
                </c:pt>
                <c:pt idx="3">
                  <c:v>0.42100000000000015</c:v>
                </c:pt>
                <c:pt idx="4">
                  <c:v>0.36900000000000016</c:v>
                </c:pt>
                <c:pt idx="5">
                  <c:v>0.32200000000000012</c:v>
                </c:pt>
                <c:pt idx="6">
                  <c:v>0.28700000000000009</c:v>
                </c:pt>
                <c:pt idx="7">
                  <c:v>0.25600000000000001</c:v>
                </c:pt>
                <c:pt idx="8">
                  <c:v>0.23</c:v>
                </c:pt>
                <c:pt idx="9">
                  <c:v>0.20800000000000005</c:v>
                </c:pt>
                <c:pt idx="10">
                  <c:v>0.191</c:v>
                </c:pt>
                <c:pt idx="11">
                  <c:v>0.17500000000000004</c:v>
                </c:pt>
                <c:pt idx="12">
                  <c:v>0.161</c:v>
                </c:pt>
                <c:pt idx="13">
                  <c:v>0.14800000000000005</c:v>
                </c:pt>
                <c:pt idx="14">
                  <c:v>0.13600000000000001</c:v>
                </c:pt>
                <c:pt idx="15">
                  <c:v>0.125</c:v>
                </c:pt>
                <c:pt idx="16">
                  <c:v>0.115</c:v>
                </c:pt>
                <c:pt idx="17">
                  <c:v>0.10800000000000003</c:v>
                </c:pt>
                <c:pt idx="18">
                  <c:v>9.9000000000000046E-2</c:v>
                </c:pt>
                <c:pt idx="19">
                  <c:v>9.1000000000000025E-2</c:v>
                </c:pt>
                <c:pt idx="20">
                  <c:v>8.3000000000000032E-2</c:v>
                </c:pt>
                <c:pt idx="21">
                  <c:v>7.5999999999999998E-2</c:v>
                </c:pt>
                <c:pt idx="22">
                  <c:v>7.0000000000000021E-2</c:v>
                </c:pt>
                <c:pt idx="23">
                  <c:v>6.4000000000000029E-2</c:v>
                </c:pt>
                <c:pt idx="24">
                  <c:v>6.0000000000000019E-2</c:v>
                </c:pt>
                <c:pt idx="25">
                  <c:v>5.5000000000000014E-2</c:v>
                </c:pt>
                <c:pt idx="26">
                  <c:v>5.1999999999999998E-2</c:v>
                </c:pt>
                <c:pt idx="27">
                  <c:v>4.8000000000000001E-2</c:v>
                </c:pt>
                <c:pt idx="28">
                  <c:v>4.5999999999999999E-2</c:v>
                </c:pt>
                <c:pt idx="29">
                  <c:v>4.5000000000000012E-2</c:v>
                </c:pt>
                <c:pt idx="30">
                  <c:v>4.2000000000000016E-2</c:v>
                </c:pt>
                <c:pt idx="31">
                  <c:v>3.6999999999999998E-2</c:v>
                </c:pt>
                <c:pt idx="32">
                  <c:v>3.2000000000000015E-2</c:v>
                </c:pt>
                <c:pt idx="33">
                  <c:v>2.8000000000000001E-2</c:v>
                </c:pt>
                <c:pt idx="34">
                  <c:v>2.4E-2</c:v>
                </c:pt>
                <c:pt idx="35">
                  <c:v>2.1000000000000008E-2</c:v>
                </c:pt>
                <c:pt idx="36">
                  <c:v>1.7999999999999999E-2</c:v>
                </c:pt>
                <c:pt idx="37">
                  <c:v>1.4999999999999998E-2</c:v>
                </c:pt>
                <c:pt idx="38">
                  <c:v>1.2999999999999998E-2</c:v>
                </c:pt>
                <c:pt idx="39">
                  <c:v>1.2E-2</c:v>
                </c:pt>
              </c:numCache>
            </c:numRef>
          </c:val>
        </c:ser>
        <c:ser>
          <c:idx val="1"/>
          <c:order val="1"/>
          <c:tx>
            <c:strRef>
              <c:f>'Random var pooled'!$A$3</c:f>
              <c:strCache>
                <c:ptCount val="1"/>
                <c:pt idx="0">
                  <c:v>λ = 0.00</c:v>
                </c:pt>
              </c:strCache>
            </c:strRef>
          </c:tx>
          <c:spPr>
            <a:ln w="38100">
              <a:solidFill>
                <a:schemeClr val="tx1"/>
              </a:solidFill>
              <a:prstDash val="sysDot"/>
            </a:ln>
          </c:spPr>
          <c:marker>
            <c:symbol val="none"/>
          </c:marker>
          <c:cat>
            <c:numRef>
              <c:f>'Random var pooled'!$B$1:$AO$1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'Random var pooled'!$B$3:$AO$3</c:f>
              <c:numCache>
                <c:formatCode>General</c:formatCode>
                <c:ptCount val="40"/>
                <c:pt idx="0">
                  <c:v>0.95400000000000018</c:v>
                </c:pt>
                <c:pt idx="1">
                  <c:v>0.91100000000000003</c:v>
                </c:pt>
                <c:pt idx="2">
                  <c:v>0.87200000000000122</c:v>
                </c:pt>
                <c:pt idx="3">
                  <c:v>0.83500000000000019</c:v>
                </c:pt>
                <c:pt idx="4">
                  <c:v>0.8</c:v>
                </c:pt>
                <c:pt idx="5">
                  <c:v>0.76700000000000124</c:v>
                </c:pt>
                <c:pt idx="6">
                  <c:v>0.73500000000000021</c:v>
                </c:pt>
                <c:pt idx="7">
                  <c:v>0.70600000000000018</c:v>
                </c:pt>
                <c:pt idx="8">
                  <c:v>0.67900000000000238</c:v>
                </c:pt>
                <c:pt idx="9">
                  <c:v>0.65300000000000125</c:v>
                </c:pt>
                <c:pt idx="10">
                  <c:v>0.62900000000000023</c:v>
                </c:pt>
                <c:pt idx="11">
                  <c:v>0.6050000000000002</c:v>
                </c:pt>
                <c:pt idx="12">
                  <c:v>0.58299999999999996</c:v>
                </c:pt>
                <c:pt idx="13">
                  <c:v>0.56200000000000028</c:v>
                </c:pt>
                <c:pt idx="14">
                  <c:v>0.54200000000000004</c:v>
                </c:pt>
                <c:pt idx="15">
                  <c:v>0.52300000000000002</c:v>
                </c:pt>
                <c:pt idx="16">
                  <c:v>0.505</c:v>
                </c:pt>
                <c:pt idx="17">
                  <c:v>0.48700000000000015</c:v>
                </c:pt>
                <c:pt idx="18">
                  <c:v>0.46900000000000008</c:v>
                </c:pt>
                <c:pt idx="19">
                  <c:v>0.45200000000000001</c:v>
                </c:pt>
                <c:pt idx="20">
                  <c:v>0.43500000000000011</c:v>
                </c:pt>
                <c:pt idx="21">
                  <c:v>0.41900000000000009</c:v>
                </c:pt>
                <c:pt idx="22">
                  <c:v>0.40300000000000002</c:v>
                </c:pt>
                <c:pt idx="23">
                  <c:v>0.38700000000000012</c:v>
                </c:pt>
                <c:pt idx="24">
                  <c:v>0.37200000000000011</c:v>
                </c:pt>
                <c:pt idx="25">
                  <c:v>0.3580000000000001</c:v>
                </c:pt>
                <c:pt idx="26">
                  <c:v>0.34400000000000008</c:v>
                </c:pt>
                <c:pt idx="27">
                  <c:v>0.33000000000000013</c:v>
                </c:pt>
                <c:pt idx="28">
                  <c:v>0.31700000000000012</c:v>
                </c:pt>
                <c:pt idx="29">
                  <c:v>0.30600000000000016</c:v>
                </c:pt>
                <c:pt idx="30">
                  <c:v>0.2950000000000001</c:v>
                </c:pt>
                <c:pt idx="31">
                  <c:v>0.28400000000000009</c:v>
                </c:pt>
                <c:pt idx="32">
                  <c:v>0.27200000000000002</c:v>
                </c:pt>
                <c:pt idx="33">
                  <c:v>0.26</c:v>
                </c:pt>
                <c:pt idx="34">
                  <c:v>0.24800000000000005</c:v>
                </c:pt>
                <c:pt idx="35">
                  <c:v>0.23800000000000004</c:v>
                </c:pt>
                <c:pt idx="36">
                  <c:v>0.22800000000000001</c:v>
                </c:pt>
                <c:pt idx="37">
                  <c:v>0.21700000000000005</c:v>
                </c:pt>
                <c:pt idx="38">
                  <c:v>0.20800000000000005</c:v>
                </c:pt>
                <c:pt idx="39">
                  <c:v>0.19400000000000001</c:v>
                </c:pt>
              </c:numCache>
            </c:numRef>
          </c:val>
        </c:ser>
        <c:ser>
          <c:idx val="3"/>
          <c:order val="2"/>
          <c:tx>
            <c:strRef>
              <c:f>'Random var pooled'!$A$5</c:f>
              <c:strCache>
                <c:ptCount val="1"/>
                <c:pt idx="0">
                  <c:v>Absorbing barriers</c:v>
                </c:pt>
              </c:strCache>
            </c:strRef>
          </c:tx>
          <c:spPr>
            <a:ln w="38100" cmpd="dbl">
              <a:solidFill>
                <a:schemeClr val="tx1"/>
              </a:solidFill>
            </a:ln>
          </c:spPr>
          <c:marker>
            <c:symbol val="none"/>
          </c:marker>
          <c:cat>
            <c:numRef>
              <c:f>'Random var pooled'!$B$1:$AO$1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'Random var pooled'!$B$5:$AO$5</c:f>
              <c:numCache>
                <c:formatCode>General</c:formatCode>
                <c:ptCount val="40"/>
                <c:pt idx="0">
                  <c:v>0.90100000000000002</c:v>
                </c:pt>
                <c:pt idx="1">
                  <c:v>0.81399999999999995</c:v>
                </c:pt>
                <c:pt idx="2">
                  <c:v>0.73600000000000021</c:v>
                </c:pt>
                <c:pt idx="3">
                  <c:v>0.66600000000000126</c:v>
                </c:pt>
                <c:pt idx="4">
                  <c:v>0.6040000000000002</c:v>
                </c:pt>
                <c:pt idx="5">
                  <c:v>0.54800000000000004</c:v>
                </c:pt>
                <c:pt idx="6">
                  <c:v>0.49600000000000011</c:v>
                </c:pt>
                <c:pt idx="7">
                  <c:v>0.45100000000000001</c:v>
                </c:pt>
                <c:pt idx="8">
                  <c:v>0.41100000000000009</c:v>
                </c:pt>
                <c:pt idx="9">
                  <c:v>0.37600000000000011</c:v>
                </c:pt>
                <c:pt idx="10">
                  <c:v>0.34500000000000008</c:v>
                </c:pt>
                <c:pt idx="11">
                  <c:v>0.31500000000000011</c:v>
                </c:pt>
                <c:pt idx="12">
                  <c:v>0.28900000000000009</c:v>
                </c:pt>
                <c:pt idx="13">
                  <c:v>0.26400000000000001</c:v>
                </c:pt>
                <c:pt idx="14">
                  <c:v>0.24200000000000005</c:v>
                </c:pt>
                <c:pt idx="15">
                  <c:v>0.222</c:v>
                </c:pt>
                <c:pt idx="16">
                  <c:v>0.20200000000000001</c:v>
                </c:pt>
                <c:pt idx="17">
                  <c:v>0.18500000000000005</c:v>
                </c:pt>
                <c:pt idx="18">
                  <c:v>0.17</c:v>
                </c:pt>
                <c:pt idx="19">
                  <c:v>0.15600000000000006</c:v>
                </c:pt>
                <c:pt idx="20">
                  <c:v>0.14300000000000004</c:v>
                </c:pt>
                <c:pt idx="21">
                  <c:v>0.13200000000000001</c:v>
                </c:pt>
                <c:pt idx="22">
                  <c:v>0.12200000000000003</c:v>
                </c:pt>
                <c:pt idx="23">
                  <c:v>0.113</c:v>
                </c:pt>
                <c:pt idx="24">
                  <c:v>0.10500000000000002</c:v>
                </c:pt>
                <c:pt idx="25">
                  <c:v>9.7000000000000003E-2</c:v>
                </c:pt>
                <c:pt idx="26">
                  <c:v>9.2000000000000026E-2</c:v>
                </c:pt>
                <c:pt idx="27">
                  <c:v>8.6000000000000021E-2</c:v>
                </c:pt>
                <c:pt idx="28">
                  <c:v>8.2000000000000003E-2</c:v>
                </c:pt>
                <c:pt idx="29">
                  <c:v>7.8000000000000014E-2</c:v>
                </c:pt>
                <c:pt idx="30">
                  <c:v>7.5000000000000011E-2</c:v>
                </c:pt>
                <c:pt idx="31">
                  <c:v>7.3000000000000009E-2</c:v>
                </c:pt>
                <c:pt idx="32">
                  <c:v>7.0999999999999994E-2</c:v>
                </c:pt>
                <c:pt idx="33">
                  <c:v>6.9000000000000034E-2</c:v>
                </c:pt>
                <c:pt idx="34">
                  <c:v>6.7000000000000004E-2</c:v>
                </c:pt>
                <c:pt idx="35">
                  <c:v>6.4000000000000029E-2</c:v>
                </c:pt>
                <c:pt idx="36">
                  <c:v>6.0000000000000019E-2</c:v>
                </c:pt>
                <c:pt idx="37">
                  <c:v>5.6000000000000001E-2</c:v>
                </c:pt>
                <c:pt idx="38">
                  <c:v>5.3000000000000012E-2</c:v>
                </c:pt>
                <c:pt idx="39">
                  <c:v>4.9000000000000016E-2</c:v>
                </c:pt>
              </c:numCache>
            </c:numRef>
          </c:val>
        </c:ser>
        <c:ser>
          <c:idx val="4"/>
          <c:order val="3"/>
          <c:tx>
            <c:strRef>
              <c:f>'Random var pooled'!$A$6</c:f>
              <c:strCache>
                <c:ptCount val="1"/>
                <c:pt idx="0">
                  <c:v>Reflecting barriers</c:v>
                </c:pt>
              </c:strCache>
            </c:strRef>
          </c:tx>
          <c:spPr>
            <a:ln w="19050">
              <a:solidFill>
                <a:schemeClr val="tx1"/>
              </a:solidFill>
            </a:ln>
          </c:spPr>
          <c:marker>
            <c:symbol val="none"/>
          </c:marker>
          <c:cat>
            <c:numRef>
              <c:f>'Random var pooled'!$B$1:$AO$1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cat>
          <c:val>
            <c:numRef>
              <c:f>'Random var pooled'!$B$6:$AO$6</c:f>
              <c:numCache>
                <c:formatCode>General</c:formatCode>
                <c:ptCount val="40"/>
                <c:pt idx="0">
                  <c:v>0.82900000000000018</c:v>
                </c:pt>
                <c:pt idx="1">
                  <c:v>0.69100000000000095</c:v>
                </c:pt>
                <c:pt idx="2">
                  <c:v>0.57900000000000118</c:v>
                </c:pt>
                <c:pt idx="3">
                  <c:v>0.48600000000000015</c:v>
                </c:pt>
                <c:pt idx="4">
                  <c:v>0.41000000000000009</c:v>
                </c:pt>
                <c:pt idx="5">
                  <c:v>0.34600000000000009</c:v>
                </c:pt>
                <c:pt idx="6">
                  <c:v>0.29200000000000009</c:v>
                </c:pt>
                <c:pt idx="7">
                  <c:v>0.24700000000000005</c:v>
                </c:pt>
                <c:pt idx="8">
                  <c:v>0.21000000000000005</c:v>
                </c:pt>
                <c:pt idx="9">
                  <c:v>0.18000000000000005</c:v>
                </c:pt>
                <c:pt idx="10">
                  <c:v>0.15500000000000005</c:v>
                </c:pt>
                <c:pt idx="11">
                  <c:v>0.13400000000000001</c:v>
                </c:pt>
                <c:pt idx="12">
                  <c:v>0.11700000000000002</c:v>
                </c:pt>
                <c:pt idx="13">
                  <c:v>0.10400000000000002</c:v>
                </c:pt>
                <c:pt idx="14">
                  <c:v>9.1000000000000025E-2</c:v>
                </c:pt>
                <c:pt idx="15">
                  <c:v>8.1000000000000003E-2</c:v>
                </c:pt>
                <c:pt idx="16">
                  <c:v>7.1999999999999995E-2</c:v>
                </c:pt>
                <c:pt idx="17">
                  <c:v>6.5000000000000002E-2</c:v>
                </c:pt>
                <c:pt idx="18">
                  <c:v>5.9000000000000011E-2</c:v>
                </c:pt>
                <c:pt idx="19">
                  <c:v>5.3999999999999999E-2</c:v>
                </c:pt>
                <c:pt idx="20">
                  <c:v>0.05</c:v>
                </c:pt>
                <c:pt idx="21">
                  <c:v>4.5999999999999999E-2</c:v>
                </c:pt>
                <c:pt idx="22">
                  <c:v>4.2000000000000016E-2</c:v>
                </c:pt>
                <c:pt idx="23">
                  <c:v>3.9000000000000014E-2</c:v>
                </c:pt>
                <c:pt idx="24">
                  <c:v>3.6999999999999998E-2</c:v>
                </c:pt>
                <c:pt idx="25">
                  <c:v>3.4000000000000002E-2</c:v>
                </c:pt>
                <c:pt idx="26">
                  <c:v>3.3000000000000002E-2</c:v>
                </c:pt>
                <c:pt idx="27">
                  <c:v>3.100000000000001E-2</c:v>
                </c:pt>
                <c:pt idx="28">
                  <c:v>2.9000000000000001E-2</c:v>
                </c:pt>
                <c:pt idx="29">
                  <c:v>2.9000000000000001E-2</c:v>
                </c:pt>
                <c:pt idx="30">
                  <c:v>2.9000000000000001E-2</c:v>
                </c:pt>
                <c:pt idx="31">
                  <c:v>3.0000000000000002E-2</c:v>
                </c:pt>
                <c:pt idx="32">
                  <c:v>3.0000000000000002E-2</c:v>
                </c:pt>
                <c:pt idx="33">
                  <c:v>3.0000000000000002E-2</c:v>
                </c:pt>
                <c:pt idx="34">
                  <c:v>3.100000000000001E-2</c:v>
                </c:pt>
                <c:pt idx="35">
                  <c:v>3.2000000000000015E-2</c:v>
                </c:pt>
                <c:pt idx="36">
                  <c:v>3.100000000000001E-2</c:v>
                </c:pt>
                <c:pt idx="37">
                  <c:v>3.0000000000000002E-2</c:v>
                </c:pt>
                <c:pt idx="38">
                  <c:v>2.700000000000001E-2</c:v>
                </c:pt>
                <c:pt idx="39">
                  <c:v>2.5000000000000001E-2</c:v>
                </c:pt>
              </c:numCache>
            </c:numRef>
          </c:val>
        </c:ser>
        <c:marker val="1"/>
        <c:axId val="69470848"/>
        <c:axId val="69489408"/>
      </c:lineChart>
      <c:catAx>
        <c:axId val="69470848"/>
        <c:scaling>
          <c:orientation val="minMax"/>
        </c:scaling>
        <c:axPos val="b"/>
        <c:title>
          <c:tx>
            <c:rich>
              <a:bodyPr/>
              <a:lstStyle/>
              <a:p>
                <a:pPr>
                  <a:defRPr lang="en-IN" b="0"/>
                </a:pPr>
                <a:r>
                  <a:rPr lang="en-US" b="0" i="1"/>
                  <a:t>T</a:t>
                </a:r>
                <a:r>
                  <a:rPr lang="en-US" b="0"/>
                  <a:t>, years between cross sections</a:t>
                </a:r>
              </a:p>
            </c:rich>
          </c:tx>
        </c:title>
        <c:numFmt formatCode="General" sourceLinked="1"/>
        <c:tickLblPos val="nextTo"/>
        <c:txPr>
          <a:bodyPr/>
          <a:lstStyle/>
          <a:p>
            <a:pPr>
              <a:defRPr lang="en-IN"/>
            </a:pPr>
            <a:endParaRPr lang="en-US"/>
          </a:p>
        </c:txPr>
        <c:crossAx val="69489408"/>
        <c:crosses val="autoZero"/>
        <c:auto val="1"/>
        <c:lblAlgn val="ctr"/>
        <c:lblOffset val="100"/>
        <c:tickLblSkip val="2"/>
      </c:catAx>
      <c:valAx>
        <c:axId val="69489408"/>
        <c:scaling>
          <c:orientation val="minMax"/>
          <c:max val="1"/>
        </c:scaling>
        <c:axPos val="l"/>
        <c:majorGridlines/>
        <c:title>
          <c:tx>
            <c:rich>
              <a:bodyPr rot="-5400000" vert="horz"/>
              <a:lstStyle/>
              <a:p>
                <a:pPr>
                  <a:defRPr lang="en-IN"/>
                </a:pPr>
                <a:r>
                  <a:rPr lang="en-US" b="0" i="1"/>
                  <a:t>R</a:t>
                </a:r>
                <a:r>
                  <a:rPr lang="en-US" b="0" i="1" baseline="30000"/>
                  <a:t>2</a:t>
                </a:r>
                <a:endParaRPr lang="en-US" b="0" i="1"/>
              </a:p>
            </c:rich>
          </c:tx>
        </c:title>
        <c:numFmt formatCode="General" sourceLinked="1"/>
        <c:tickLblPos val="nextTo"/>
        <c:txPr>
          <a:bodyPr/>
          <a:lstStyle/>
          <a:p>
            <a:pPr>
              <a:defRPr lang="en-IN"/>
            </a:pPr>
            <a:endParaRPr lang="en-US"/>
          </a:p>
        </c:txPr>
        <c:crossAx val="69470848"/>
        <c:crosses val="autoZero"/>
        <c:crossBetween val="between"/>
      </c:valAx>
      <c:spPr>
        <a:ln>
          <a:noFill/>
        </a:ln>
      </c:spPr>
    </c:plotArea>
    <c:legend>
      <c:legendPos val="t"/>
      <c:txPr>
        <a:bodyPr/>
        <a:lstStyle/>
        <a:p>
          <a:pPr>
            <a:defRPr lang="en-IN"/>
          </a:pPr>
          <a:endParaRPr lang="en-US"/>
        </a:p>
      </c:txPr>
    </c:legend>
    <c:plotVisOnly val="1"/>
    <c:dispBlanksAs val="gap"/>
  </c:chart>
  <c:spPr>
    <a:noFill/>
    <a:ln>
      <a:noFill/>
    </a:ln>
  </c:spPr>
  <c:txPr>
    <a:bodyPr/>
    <a:lstStyle/>
    <a:p>
      <a:pPr>
        <a:defRPr>
          <a:latin typeface="Times New Roman"/>
          <a:cs typeface="Times New Roman"/>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diagram Consolidated'!$B$27</c:f>
              <c:strCache>
                <c:ptCount val="1"/>
                <c:pt idx="0">
                  <c:v>Adjusted TotDebttoTA</c:v>
                </c:pt>
              </c:strCache>
            </c:strRef>
          </c:tx>
          <c:spPr>
            <a:ln>
              <a:solidFill>
                <a:schemeClr val="tx1"/>
              </a:solidFill>
            </a:ln>
          </c:spPr>
          <c:marker>
            <c:symbol val="none"/>
          </c:marker>
          <c:cat>
            <c:numRef>
              <c:f>'HD diagram Consolidated'!$C$26:$DG$26</c:f>
              <c:numCache>
                <c:formatCode>General</c:formatCode>
                <c:ptCount val="109"/>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numCache>
            </c:numRef>
          </c:cat>
          <c:val>
            <c:numRef>
              <c:f>'HD diagram Consolidated'!$C$27:$DG$27</c:f>
              <c:numCache>
                <c:formatCode>0.000</c:formatCode>
                <c:ptCount val="109"/>
                <c:pt idx="0">
                  <c:v>4.6553036113434899E-2</c:v>
                </c:pt>
                <c:pt idx="1">
                  <c:v>8.8725109396808177E-3</c:v>
                </c:pt>
                <c:pt idx="2">
                  <c:v>4.3059711130512712E-2</c:v>
                </c:pt>
                <c:pt idx="3">
                  <c:v>3.8102244548380799E-2</c:v>
                </c:pt>
                <c:pt idx="4">
                  <c:v>3.4516469493668288E-2</c:v>
                </c:pt>
                <c:pt idx="5">
                  <c:v>2.9379585302150998E-2</c:v>
                </c:pt>
                <c:pt idx="6">
                  <c:v>2.4372345660826213E-2</c:v>
                </c:pt>
                <c:pt idx="7">
                  <c:v>0.15198816247428606</c:v>
                </c:pt>
                <c:pt idx="8">
                  <c:v>0.15085220374010005</c:v>
                </c:pt>
                <c:pt idx="9">
                  <c:v>0.14605481808795201</c:v>
                </c:pt>
                <c:pt idx="10">
                  <c:v>0.13883654169095597</c:v>
                </c:pt>
                <c:pt idx="11">
                  <c:v>2.4315607626087306E-2</c:v>
                </c:pt>
                <c:pt idx="12">
                  <c:v>9.3169398386772989E-2</c:v>
                </c:pt>
                <c:pt idx="13">
                  <c:v>0.13981925144655399</c:v>
                </c:pt>
                <c:pt idx="14">
                  <c:v>8.7181346809626192E-2</c:v>
                </c:pt>
                <c:pt idx="15">
                  <c:v>8.0714877190989964E-2</c:v>
                </c:pt>
                <c:pt idx="16">
                  <c:v>7.3630022670315806E-2</c:v>
                </c:pt>
                <c:pt idx="17">
                  <c:v>0.17184793919418506</c:v>
                </c:pt>
                <c:pt idx="18">
                  <c:v>0.146628262060718</c:v>
                </c:pt>
                <c:pt idx="19">
                  <c:v>0.10591852672103802</c:v>
                </c:pt>
                <c:pt idx="20">
                  <c:v>0.22296523007401606</c:v>
                </c:pt>
                <c:pt idx="21">
                  <c:v>0.11869300679223603</c:v>
                </c:pt>
                <c:pt idx="22">
                  <c:v>0.10705389662119398</c:v>
                </c:pt>
                <c:pt idx="23">
                  <c:v>6.3204884189060603E-2</c:v>
                </c:pt>
                <c:pt idx="24">
                  <c:v>4.5763810366942013E-2</c:v>
                </c:pt>
                <c:pt idx="25">
                  <c:v>8.1737419232726528E-3</c:v>
                </c:pt>
                <c:pt idx="26">
                  <c:v>7.5806256183167317E-3</c:v>
                </c:pt>
                <c:pt idx="27">
                  <c:v>4.7810443663490196E-3</c:v>
                </c:pt>
                <c:pt idx="28">
                  <c:v>4.4455996063432115E-3</c:v>
                </c:pt>
                <c:pt idx="29">
                  <c:v>3.9687753042864813E-3</c:v>
                </c:pt>
                <c:pt idx="30">
                  <c:v>4.0051273496325415E-3</c:v>
                </c:pt>
                <c:pt idx="31">
                  <c:v>4.5027594994643035E-3</c:v>
                </c:pt>
                <c:pt idx="32">
                  <c:v>4.9527224654479516E-3</c:v>
                </c:pt>
                <c:pt idx="33">
                  <c:v>5.4005278175865501E-3</c:v>
                </c:pt>
                <c:pt idx="34">
                  <c:v>5.3413985623057504E-3</c:v>
                </c:pt>
                <c:pt idx="35">
                  <c:v>0</c:v>
                </c:pt>
                <c:pt idx="36">
                  <c:v>0</c:v>
                </c:pt>
                <c:pt idx="37">
                  <c:v>0</c:v>
                </c:pt>
                <c:pt idx="38">
                  <c:v>0</c:v>
                </c:pt>
                <c:pt idx="39">
                  <c:v>0</c:v>
                </c:pt>
                <c:pt idx="40">
                  <c:v>0</c:v>
                </c:pt>
                <c:pt idx="41">
                  <c:v>0</c:v>
                </c:pt>
                <c:pt idx="42">
                  <c:v>0</c:v>
                </c:pt>
                <c:pt idx="43">
                  <c:v>0</c:v>
                </c:pt>
                <c:pt idx="44">
                  <c:v>0</c:v>
                </c:pt>
                <c:pt idx="45">
                  <c:v>0</c:v>
                </c:pt>
                <c:pt idx="46">
                  <c:v>0.2552316229530609</c:v>
                </c:pt>
                <c:pt idx="47">
                  <c:v>0.20837336274085497</c:v>
                </c:pt>
                <c:pt idx="48">
                  <c:v>0.15201630162418905</c:v>
                </c:pt>
                <c:pt idx="49">
                  <c:v>0.119919615204112</c:v>
                </c:pt>
                <c:pt idx="50">
                  <c:v>7.1246789469157695E-3</c:v>
                </c:pt>
                <c:pt idx="51">
                  <c:v>0.11444493419809397</c:v>
                </c:pt>
                <c:pt idx="52">
                  <c:v>0.12482503607503906</c:v>
                </c:pt>
                <c:pt idx="53">
                  <c:v>0.14390114764097406</c:v>
                </c:pt>
                <c:pt idx="54">
                  <c:v>0.12800849603330899</c:v>
                </c:pt>
                <c:pt idx="55">
                  <c:v>0.13941656203890701</c:v>
                </c:pt>
                <c:pt idx="56">
                  <c:v>0.23891469407474106</c:v>
                </c:pt>
                <c:pt idx="57">
                  <c:v>0.19893738520373699</c:v>
                </c:pt>
                <c:pt idx="58">
                  <c:v>0.19282650046713301</c:v>
                </c:pt>
                <c:pt idx="59">
                  <c:v>0.18674512529528306</c:v>
                </c:pt>
                <c:pt idx="60">
                  <c:v>0.20012898756161401</c:v>
                </c:pt>
                <c:pt idx="61">
                  <c:v>0.20004944456496315</c:v>
                </c:pt>
                <c:pt idx="62">
                  <c:v>0.21516496568896601</c:v>
                </c:pt>
                <c:pt idx="63">
                  <c:v>0.223955595999031</c:v>
                </c:pt>
                <c:pt idx="64">
                  <c:v>0.23452308397931701</c:v>
                </c:pt>
                <c:pt idx="65">
                  <c:v>0.26030563185270911</c:v>
                </c:pt>
                <c:pt idx="66">
                  <c:v>0.30343688683097825</c:v>
                </c:pt>
                <c:pt idx="67">
                  <c:v>0.32415447322432822</c:v>
                </c:pt>
                <c:pt idx="68">
                  <c:v>0.31732445256845321</c:v>
                </c:pt>
                <c:pt idx="69">
                  <c:v>0.33045550392313511</c:v>
                </c:pt>
                <c:pt idx="70">
                  <c:v>0.36574380868620893</c:v>
                </c:pt>
                <c:pt idx="71">
                  <c:v>0.357269053190164</c:v>
                </c:pt>
                <c:pt idx="72">
                  <c:v>0.35259457153492912</c:v>
                </c:pt>
                <c:pt idx="73">
                  <c:v>0.3696822764587171</c:v>
                </c:pt>
                <c:pt idx="74">
                  <c:v>0.38324809173926322</c:v>
                </c:pt>
                <c:pt idx="75">
                  <c:v>0.36258946007102211</c:v>
                </c:pt>
                <c:pt idx="76">
                  <c:v>0.33337393597077436</c:v>
                </c:pt>
                <c:pt idx="77">
                  <c:v>0.32308754728274136</c:v>
                </c:pt>
                <c:pt idx="78">
                  <c:v>0.31942659951050922</c:v>
                </c:pt>
                <c:pt idx="79">
                  <c:v>0.32158247279706126</c:v>
                </c:pt>
                <c:pt idx="80">
                  <c:v>0.32730186125441935</c:v>
                </c:pt>
                <c:pt idx="81">
                  <c:v>0.33903431186872013</c:v>
                </c:pt>
                <c:pt idx="82">
                  <c:v>0.32834847294739022</c:v>
                </c:pt>
                <c:pt idx="83">
                  <c:v>0.33512427976286141</c:v>
                </c:pt>
                <c:pt idx="84">
                  <c:v>0.3433384968865571</c:v>
                </c:pt>
                <c:pt idx="85">
                  <c:v>0.37057220308796029</c:v>
                </c:pt>
                <c:pt idx="86">
                  <c:v>0.5403417897127798</c:v>
                </c:pt>
                <c:pt idx="87">
                  <c:v>0.53017250326946597</c:v>
                </c:pt>
                <c:pt idx="88">
                  <c:v>0.55433184503675581</c:v>
                </c:pt>
                <c:pt idx="89">
                  <c:v>0.57622483326065821</c:v>
                </c:pt>
                <c:pt idx="90">
                  <c:v>0.63106625770060498</c:v>
                </c:pt>
                <c:pt idx="91">
                  <c:v>0.6364533249335852</c:v>
                </c:pt>
                <c:pt idx="92">
                  <c:v>0.66981895103590094</c:v>
                </c:pt>
                <c:pt idx="93">
                  <c:v>0.64573409779490121</c:v>
                </c:pt>
                <c:pt idx="94">
                  <c:v>0.48723802472182787</c:v>
                </c:pt>
                <c:pt idx="95">
                  <c:v>0.50645734207468196</c:v>
                </c:pt>
                <c:pt idx="96">
                  <c:v>0.4752020910272321</c:v>
                </c:pt>
                <c:pt idx="97">
                  <c:v>0.47589568832809198</c:v>
                </c:pt>
                <c:pt idx="98">
                  <c:v>0.49177799317294824</c:v>
                </c:pt>
                <c:pt idx="99">
                  <c:v>0.49795903257650487</c:v>
                </c:pt>
                <c:pt idx="100">
                  <c:v>0.46066186734282022</c:v>
                </c:pt>
                <c:pt idx="101">
                  <c:v>0.4704468277231561</c:v>
                </c:pt>
                <c:pt idx="102">
                  <c:v>0.48571910354562597</c:v>
                </c:pt>
                <c:pt idx="103">
                  <c:v>0.47093282758002902</c:v>
                </c:pt>
                <c:pt idx="104">
                  <c:v>0.49348507075887521</c:v>
                </c:pt>
                <c:pt idx="105">
                  <c:v>0.55016403765817445</c:v>
                </c:pt>
                <c:pt idx="106">
                  <c:v>0.62095924066215724</c:v>
                </c:pt>
                <c:pt idx="107">
                  <c:v>0.64641277848258105</c:v>
                </c:pt>
                <c:pt idx="108">
                  <c:v>0.65653340754029621</c:v>
                </c:pt>
              </c:numCache>
            </c:numRef>
          </c:val>
        </c:ser>
        <c:marker val="1"/>
        <c:axId val="69514752"/>
        <c:axId val="69516288"/>
      </c:lineChart>
      <c:catAx>
        <c:axId val="69514752"/>
        <c:scaling>
          <c:orientation val="minMax"/>
        </c:scaling>
        <c:axPos val="b"/>
        <c:numFmt formatCode="General" sourceLinked="1"/>
        <c:tickLblPos val="nextTo"/>
        <c:txPr>
          <a:bodyPr/>
          <a:lstStyle/>
          <a:p>
            <a:pPr>
              <a:defRPr lang="en-IN"/>
            </a:pPr>
            <a:endParaRPr lang="en-US"/>
          </a:p>
        </c:txPr>
        <c:crossAx val="69516288"/>
        <c:crosses val="autoZero"/>
        <c:auto val="1"/>
        <c:lblAlgn val="ctr"/>
        <c:lblOffset val="100"/>
      </c:catAx>
      <c:valAx>
        <c:axId val="69516288"/>
        <c:scaling>
          <c:orientation val="minMax"/>
          <c:max val="0.70000000000000095"/>
          <c:min val="0"/>
        </c:scaling>
        <c:axPos val="l"/>
        <c:majorGridlines/>
        <c:numFmt formatCode="0.000" sourceLinked="1"/>
        <c:tickLblPos val="nextTo"/>
        <c:txPr>
          <a:bodyPr/>
          <a:lstStyle/>
          <a:p>
            <a:pPr>
              <a:defRPr lang="en-IN"/>
            </a:pPr>
            <a:endParaRPr lang="en-US"/>
          </a:p>
        </c:txPr>
        <c:crossAx val="69514752"/>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diagram cons'!$B$45</c:f>
              <c:strCache>
                <c:ptCount val="1"/>
                <c:pt idx="0">
                  <c:v>TotDebttoTA</c:v>
                </c:pt>
              </c:strCache>
            </c:strRef>
          </c:tx>
          <c:spPr>
            <a:ln>
              <a:solidFill>
                <a:schemeClr val="tx1"/>
              </a:solidFill>
            </a:ln>
          </c:spPr>
          <c:marker>
            <c:symbol val="none"/>
          </c:marker>
          <c:cat>
            <c:numRef>
              <c:f>'HD diagram cons'!$C$44:$CV$44</c:f>
              <c:numCache>
                <c:formatCode>General</c:formatCode>
                <c:ptCount val="98"/>
                <c:pt idx="0">
                  <c:v>1911</c:v>
                </c:pt>
                <c:pt idx="1">
                  <c:v>1912</c:v>
                </c:pt>
                <c:pt idx="2">
                  <c:v>1913</c:v>
                </c:pt>
                <c:pt idx="3">
                  <c:v>1914</c:v>
                </c:pt>
                <c:pt idx="4">
                  <c:v>1915</c:v>
                </c:pt>
                <c:pt idx="5">
                  <c:v>1916</c:v>
                </c:pt>
                <c:pt idx="6">
                  <c:v>1917</c:v>
                </c:pt>
                <c:pt idx="7">
                  <c:v>1918</c:v>
                </c:pt>
                <c:pt idx="8">
                  <c:v>1919</c:v>
                </c:pt>
                <c:pt idx="9">
                  <c:v>1920</c:v>
                </c:pt>
                <c:pt idx="10">
                  <c:v>1921</c:v>
                </c:pt>
                <c:pt idx="11">
                  <c:v>1922</c:v>
                </c:pt>
                <c:pt idx="12">
                  <c:v>1923</c:v>
                </c:pt>
                <c:pt idx="13">
                  <c:v>1924</c:v>
                </c:pt>
                <c:pt idx="14">
                  <c:v>1925</c:v>
                </c:pt>
                <c:pt idx="15">
                  <c:v>1926</c:v>
                </c:pt>
                <c:pt idx="16">
                  <c:v>1927</c:v>
                </c:pt>
                <c:pt idx="17">
                  <c:v>1928</c:v>
                </c:pt>
                <c:pt idx="18">
                  <c:v>1929</c:v>
                </c:pt>
                <c:pt idx="19">
                  <c:v>1930</c:v>
                </c:pt>
                <c:pt idx="20">
                  <c:v>1931</c:v>
                </c:pt>
                <c:pt idx="21">
                  <c:v>1932</c:v>
                </c:pt>
                <c:pt idx="22">
                  <c:v>1933</c:v>
                </c:pt>
                <c:pt idx="23">
                  <c:v>1934</c:v>
                </c:pt>
                <c:pt idx="24">
                  <c:v>1935</c:v>
                </c:pt>
                <c:pt idx="25">
                  <c:v>1936</c:v>
                </c:pt>
                <c:pt idx="26">
                  <c:v>1937</c:v>
                </c:pt>
                <c:pt idx="27">
                  <c:v>1938</c:v>
                </c:pt>
                <c:pt idx="28">
                  <c:v>1939</c:v>
                </c:pt>
                <c:pt idx="29">
                  <c:v>1940</c:v>
                </c:pt>
                <c:pt idx="30">
                  <c:v>1941</c:v>
                </c:pt>
                <c:pt idx="31">
                  <c:v>1942</c:v>
                </c:pt>
                <c:pt idx="32">
                  <c:v>1943</c:v>
                </c:pt>
                <c:pt idx="33">
                  <c:v>1944</c:v>
                </c:pt>
                <c:pt idx="34">
                  <c:v>1945</c:v>
                </c:pt>
                <c:pt idx="35">
                  <c:v>1946</c:v>
                </c:pt>
                <c:pt idx="36">
                  <c:v>1947</c:v>
                </c:pt>
                <c:pt idx="37">
                  <c:v>1948</c:v>
                </c:pt>
                <c:pt idx="38">
                  <c:v>1949</c:v>
                </c:pt>
                <c:pt idx="39">
                  <c:v>1950</c:v>
                </c:pt>
                <c:pt idx="40">
                  <c:v>1951</c:v>
                </c:pt>
                <c:pt idx="41">
                  <c:v>1952</c:v>
                </c:pt>
                <c:pt idx="42">
                  <c:v>1953</c:v>
                </c:pt>
                <c:pt idx="43">
                  <c:v>1954</c:v>
                </c:pt>
                <c:pt idx="44">
                  <c:v>1955</c:v>
                </c:pt>
                <c:pt idx="45">
                  <c:v>1956</c:v>
                </c:pt>
                <c:pt idx="46">
                  <c:v>1957</c:v>
                </c:pt>
                <c:pt idx="47">
                  <c:v>1958</c:v>
                </c:pt>
                <c:pt idx="48">
                  <c:v>1959</c:v>
                </c:pt>
                <c:pt idx="49">
                  <c:v>1960</c:v>
                </c:pt>
                <c:pt idx="50">
                  <c:v>1961</c:v>
                </c:pt>
                <c:pt idx="51">
                  <c:v>1962</c:v>
                </c:pt>
                <c:pt idx="52">
                  <c:v>1963</c:v>
                </c:pt>
                <c:pt idx="53">
                  <c:v>1964</c:v>
                </c:pt>
                <c:pt idx="54">
                  <c:v>1965</c:v>
                </c:pt>
                <c:pt idx="55">
                  <c:v>1966</c:v>
                </c:pt>
                <c:pt idx="56">
                  <c:v>1967</c:v>
                </c:pt>
                <c:pt idx="57">
                  <c:v>1968</c:v>
                </c:pt>
                <c:pt idx="58">
                  <c:v>1969</c:v>
                </c:pt>
                <c:pt idx="59">
                  <c:v>1970</c:v>
                </c:pt>
                <c:pt idx="60">
                  <c:v>1971</c:v>
                </c:pt>
                <c:pt idx="61">
                  <c:v>1972</c:v>
                </c:pt>
                <c:pt idx="62">
                  <c:v>1973</c:v>
                </c:pt>
                <c:pt idx="63">
                  <c:v>1974</c:v>
                </c:pt>
                <c:pt idx="64">
                  <c:v>1975</c:v>
                </c:pt>
                <c:pt idx="65">
                  <c:v>1976</c:v>
                </c:pt>
                <c:pt idx="66">
                  <c:v>1977</c:v>
                </c:pt>
                <c:pt idx="67">
                  <c:v>1978</c:v>
                </c:pt>
                <c:pt idx="68">
                  <c:v>1979</c:v>
                </c:pt>
                <c:pt idx="69">
                  <c:v>1980</c:v>
                </c:pt>
                <c:pt idx="70">
                  <c:v>1981</c:v>
                </c:pt>
                <c:pt idx="71">
                  <c:v>1982</c:v>
                </c:pt>
                <c:pt idx="72">
                  <c:v>1983</c:v>
                </c:pt>
                <c:pt idx="73">
                  <c:v>1984</c:v>
                </c:pt>
                <c:pt idx="74">
                  <c:v>1985</c:v>
                </c:pt>
                <c:pt idx="75">
                  <c:v>1986</c:v>
                </c:pt>
                <c:pt idx="76">
                  <c:v>1987</c:v>
                </c:pt>
                <c:pt idx="77">
                  <c:v>1988</c:v>
                </c:pt>
                <c:pt idx="78">
                  <c:v>1989</c:v>
                </c:pt>
                <c:pt idx="79">
                  <c:v>1990</c:v>
                </c:pt>
                <c:pt idx="80">
                  <c:v>1991</c:v>
                </c:pt>
                <c:pt idx="81">
                  <c:v>1992</c:v>
                </c:pt>
                <c:pt idx="82">
                  <c:v>1993</c:v>
                </c:pt>
                <c:pt idx="83">
                  <c:v>1994</c:v>
                </c:pt>
                <c:pt idx="84">
                  <c:v>1995</c:v>
                </c:pt>
                <c:pt idx="85">
                  <c:v>1996</c:v>
                </c:pt>
                <c:pt idx="86">
                  <c:v>1997</c:v>
                </c:pt>
                <c:pt idx="87">
                  <c:v>1998</c:v>
                </c:pt>
                <c:pt idx="88">
                  <c:v>1999</c:v>
                </c:pt>
                <c:pt idx="89">
                  <c:v>2000</c:v>
                </c:pt>
                <c:pt idx="90">
                  <c:v>2001</c:v>
                </c:pt>
                <c:pt idx="91">
                  <c:v>2002</c:v>
                </c:pt>
                <c:pt idx="92">
                  <c:v>2003</c:v>
                </c:pt>
                <c:pt idx="93">
                  <c:v>2004</c:v>
                </c:pt>
                <c:pt idx="94">
                  <c:v>2005</c:v>
                </c:pt>
                <c:pt idx="95">
                  <c:v>2006</c:v>
                </c:pt>
                <c:pt idx="96">
                  <c:v>2007</c:v>
                </c:pt>
                <c:pt idx="97">
                  <c:v>2008</c:v>
                </c:pt>
              </c:numCache>
            </c:numRef>
          </c:cat>
          <c:val>
            <c:numRef>
              <c:f>'HD diagram cons'!$C$45:$CV$45</c:f>
              <c:numCache>
                <c:formatCode>General</c:formatCode>
                <c:ptCount val="98"/>
                <c:pt idx="0">
                  <c:v>0.25744615199232002</c:v>
                </c:pt>
                <c:pt idx="1">
                  <c:v>0.23748976189314999</c:v>
                </c:pt>
                <c:pt idx="2">
                  <c:v>0.19192608712268605</c:v>
                </c:pt>
                <c:pt idx="3">
                  <c:v>0.14806028792570106</c:v>
                </c:pt>
                <c:pt idx="4">
                  <c:v>3.9734133926066811E-2</c:v>
                </c:pt>
                <c:pt idx="5">
                  <c:v>0</c:v>
                </c:pt>
                <c:pt idx="6">
                  <c:v>0</c:v>
                </c:pt>
                <c:pt idx="7">
                  <c:v>3.6819855649027212E-2</c:v>
                </c:pt>
                <c:pt idx="8">
                  <c:v>9.165800398590046E-2</c:v>
                </c:pt>
                <c:pt idx="9">
                  <c:v>0.17900937500015701</c:v>
                </c:pt>
                <c:pt idx="10">
                  <c:v>0.18371610922980106</c:v>
                </c:pt>
                <c:pt idx="11">
                  <c:v>5.1674716212478086E-2</c:v>
                </c:pt>
                <c:pt idx="12">
                  <c:v>0.124841912356777</c:v>
                </c:pt>
                <c:pt idx="13">
                  <c:v>9.3192630074007701E-2</c:v>
                </c:pt>
                <c:pt idx="14">
                  <c:v>0.134872296648437</c:v>
                </c:pt>
                <c:pt idx="15">
                  <c:v>0.18826074931150005</c:v>
                </c:pt>
                <c:pt idx="16">
                  <c:v>0.18563383823493901</c:v>
                </c:pt>
                <c:pt idx="17">
                  <c:v>0.191871136550571</c:v>
                </c:pt>
                <c:pt idx="18">
                  <c:v>0.21787887216523105</c:v>
                </c:pt>
                <c:pt idx="19">
                  <c:v>0.16906073955465201</c:v>
                </c:pt>
                <c:pt idx="20">
                  <c:v>0.13509514540125606</c:v>
                </c:pt>
                <c:pt idx="21">
                  <c:v>6.8255110230876298E-2</c:v>
                </c:pt>
                <c:pt idx="22">
                  <c:v>7.4747091990852124E-2</c:v>
                </c:pt>
                <c:pt idx="23">
                  <c:v>0.11055894293002801</c:v>
                </c:pt>
                <c:pt idx="24">
                  <c:v>0.14799778185965207</c:v>
                </c:pt>
                <c:pt idx="25">
                  <c:v>0.18520352365085097</c:v>
                </c:pt>
                <c:pt idx="26">
                  <c:v>0.21183109672084599</c:v>
                </c:pt>
                <c:pt idx="27">
                  <c:v>0.16110241792324295</c:v>
                </c:pt>
                <c:pt idx="28">
                  <c:v>0.15159378949801106</c:v>
                </c:pt>
                <c:pt idx="29">
                  <c:v>0.21345675618650906</c:v>
                </c:pt>
                <c:pt idx="30">
                  <c:v>0.20642463447108406</c:v>
                </c:pt>
                <c:pt idx="31">
                  <c:v>0.11231908497714101</c:v>
                </c:pt>
                <c:pt idx="32">
                  <c:v>2.33597869268449E-2</c:v>
                </c:pt>
                <c:pt idx="33">
                  <c:v>3.0133272269538408E-3</c:v>
                </c:pt>
                <c:pt idx="34">
                  <c:v>7.7079877353864801E-4</c:v>
                </c:pt>
                <c:pt idx="35">
                  <c:v>9.3793341863108504E-2</c:v>
                </c:pt>
                <c:pt idx="36">
                  <c:v>0.11859279719954698</c:v>
                </c:pt>
                <c:pt idx="37">
                  <c:v>0.16039326963376394</c:v>
                </c:pt>
                <c:pt idx="38">
                  <c:v>0.19739658801259399</c:v>
                </c:pt>
                <c:pt idx="39">
                  <c:v>0.20344318291718211</c:v>
                </c:pt>
                <c:pt idx="40">
                  <c:v>0.19969391232654293</c:v>
                </c:pt>
                <c:pt idx="41">
                  <c:v>0.21972514279495806</c:v>
                </c:pt>
                <c:pt idx="42">
                  <c:v>0.27427700453166787</c:v>
                </c:pt>
                <c:pt idx="43">
                  <c:v>0.29728324662117289</c:v>
                </c:pt>
                <c:pt idx="44">
                  <c:v>0.32053691717673011</c:v>
                </c:pt>
                <c:pt idx="45">
                  <c:v>0.36429202549814499</c:v>
                </c:pt>
                <c:pt idx="46">
                  <c:v>0.36481206050109311</c:v>
                </c:pt>
                <c:pt idx="47">
                  <c:v>0.33718726238767233</c:v>
                </c:pt>
                <c:pt idx="48">
                  <c:v>0.33400093774313511</c:v>
                </c:pt>
                <c:pt idx="49">
                  <c:v>0.36561511550433701</c:v>
                </c:pt>
                <c:pt idx="50">
                  <c:v>0.31760536242812593</c:v>
                </c:pt>
                <c:pt idx="51">
                  <c:v>0.29894700295938298</c:v>
                </c:pt>
                <c:pt idx="52">
                  <c:v>0.29927590295751311</c:v>
                </c:pt>
                <c:pt idx="53">
                  <c:v>0.30087924605039601</c:v>
                </c:pt>
                <c:pt idx="54">
                  <c:v>0.3185448399581941</c:v>
                </c:pt>
                <c:pt idx="55">
                  <c:v>0.35435044792009612</c:v>
                </c:pt>
                <c:pt idx="56">
                  <c:v>0.34476952562940411</c:v>
                </c:pt>
                <c:pt idx="57">
                  <c:v>0.357161158739566</c:v>
                </c:pt>
                <c:pt idx="58">
                  <c:v>0.37150520453546698</c:v>
                </c:pt>
                <c:pt idx="59">
                  <c:v>0.37249935720306498</c:v>
                </c:pt>
                <c:pt idx="60">
                  <c:v>0.3444699282536911</c:v>
                </c:pt>
                <c:pt idx="61">
                  <c:v>0.37259162339453811</c:v>
                </c:pt>
                <c:pt idx="62">
                  <c:v>0.37125376682637901</c:v>
                </c:pt>
                <c:pt idx="63">
                  <c:v>0.41598671441773111</c:v>
                </c:pt>
                <c:pt idx="64">
                  <c:v>0.42261790227092311</c:v>
                </c:pt>
                <c:pt idx="65">
                  <c:v>0.41726173588453402</c:v>
                </c:pt>
                <c:pt idx="66">
                  <c:v>0.44277546485065811</c:v>
                </c:pt>
                <c:pt idx="67">
                  <c:v>0.43709693707153902</c:v>
                </c:pt>
                <c:pt idx="68">
                  <c:v>0.4715914305630679</c:v>
                </c:pt>
                <c:pt idx="69">
                  <c:v>0.49490337598375223</c:v>
                </c:pt>
                <c:pt idx="70">
                  <c:v>0.54408741372396896</c:v>
                </c:pt>
                <c:pt idx="71">
                  <c:v>0.54191661927996382</c:v>
                </c:pt>
                <c:pt idx="72">
                  <c:v>0.51436146000728378</c:v>
                </c:pt>
                <c:pt idx="73">
                  <c:v>0.50087950836664696</c:v>
                </c:pt>
                <c:pt idx="74">
                  <c:v>0.518322417654968</c:v>
                </c:pt>
                <c:pt idx="75">
                  <c:v>0.59194282922900399</c:v>
                </c:pt>
                <c:pt idx="76">
                  <c:v>0.63433479013598204</c:v>
                </c:pt>
                <c:pt idx="77">
                  <c:v>0.53896884796154698</c:v>
                </c:pt>
                <c:pt idx="78">
                  <c:v>0.54061089308476695</c:v>
                </c:pt>
                <c:pt idx="79">
                  <c:v>0.53060007268235121</c:v>
                </c:pt>
                <c:pt idx="80">
                  <c:v>0.51008731835801302</c:v>
                </c:pt>
                <c:pt idx="81">
                  <c:v>0.43239144183007611</c:v>
                </c:pt>
                <c:pt idx="82">
                  <c:v>0.37757630277012311</c:v>
                </c:pt>
                <c:pt idx="83">
                  <c:v>0.37443900690185811</c:v>
                </c:pt>
                <c:pt idx="84">
                  <c:v>0.38663036780012611</c:v>
                </c:pt>
                <c:pt idx="85">
                  <c:v>0.38679763394590411</c:v>
                </c:pt>
                <c:pt idx="86">
                  <c:v>0.40999091258606801</c:v>
                </c:pt>
                <c:pt idx="87">
                  <c:v>0.44435465385079198</c:v>
                </c:pt>
                <c:pt idx="88">
                  <c:v>0.48012958177119408</c:v>
                </c:pt>
                <c:pt idx="89">
                  <c:v>0.47771032662488411</c:v>
                </c:pt>
                <c:pt idx="90">
                  <c:v>0.51336393296889504</c:v>
                </c:pt>
                <c:pt idx="91">
                  <c:v>0.54463269522252999</c:v>
                </c:pt>
                <c:pt idx="92">
                  <c:v>0.60591250526747598</c:v>
                </c:pt>
                <c:pt idx="93">
                  <c:v>0.62568422719591621</c:v>
                </c:pt>
                <c:pt idx="94">
                  <c:v>0.60356706254019521</c:v>
                </c:pt>
                <c:pt idx="95">
                  <c:v>0.25871680845578793</c:v>
                </c:pt>
                <c:pt idx="96">
                  <c:v>0.29781103282443511</c:v>
                </c:pt>
                <c:pt idx="97">
                  <c:v>0.5111645633573868</c:v>
                </c:pt>
              </c:numCache>
            </c:numRef>
          </c:val>
        </c:ser>
        <c:marker val="1"/>
        <c:axId val="69543424"/>
        <c:axId val="69544960"/>
      </c:lineChart>
      <c:catAx>
        <c:axId val="69543424"/>
        <c:scaling>
          <c:orientation val="minMax"/>
        </c:scaling>
        <c:axPos val="b"/>
        <c:numFmt formatCode="General" sourceLinked="1"/>
        <c:tickLblPos val="nextTo"/>
        <c:txPr>
          <a:bodyPr/>
          <a:lstStyle/>
          <a:p>
            <a:pPr>
              <a:defRPr lang="en-IN"/>
            </a:pPr>
            <a:endParaRPr lang="en-US"/>
          </a:p>
        </c:txPr>
        <c:crossAx val="69544960"/>
        <c:crosses val="autoZero"/>
        <c:auto val="1"/>
        <c:lblAlgn val="ctr"/>
        <c:lblOffset val="100"/>
      </c:catAx>
      <c:valAx>
        <c:axId val="69544960"/>
        <c:scaling>
          <c:orientation val="minMax"/>
        </c:scaling>
        <c:axPos val="l"/>
        <c:majorGridlines/>
        <c:numFmt formatCode="#,##0.000" sourceLinked="0"/>
        <c:tickLblPos val="nextTo"/>
        <c:txPr>
          <a:bodyPr/>
          <a:lstStyle/>
          <a:p>
            <a:pPr>
              <a:defRPr lang="en-IN">
                <a:latin typeface="Times New Roman" pitchFamily="18" charset="0"/>
                <a:cs typeface="Times New Roman" pitchFamily="18" charset="0"/>
              </a:defRPr>
            </a:pPr>
            <a:endParaRPr lang="en-US"/>
          </a:p>
        </c:txPr>
        <c:crossAx val="69543424"/>
        <c:crosses val="autoZero"/>
        <c:crossBetween val="between"/>
      </c:valAx>
    </c:plotArea>
    <c:plotVisOnly val="1"/>
    <c:dispBlanksAs val="gap"/>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consolidated'!$B$35</c:f>
              <c:strCache>
                <c:ptCount val="1"/>
                <c:pt idx="0">
                  <c:v>TotDebttoTA</c:v>
                </c:pt>
              </c:strCache>
            </c:strRef>
          </c:tx>
          <c:spPr>
            <a:ln>
              <a:solidFill>
                <a:schemeClr val="tx1"/>
              </a:solidFill>
            </a:ln>
          </c:spPr>
          <c:marker>
            <c:symbol val="none"/>
          </c:marker>
          <c:cat>
            <c:strRef>
              <c:f>'HD consolidated'!$C$34:$CV$34</c:f>
              <c:strCache>
                <c:ptCount val="98"/>
                <c:pt idx="0">
                  <c:v>1911</c:v>
                </c:pt>
                <c:pt idx="1">
                  <c:v>1912</c:v>
                </c:pt>
                <c:pt idx="2">
                  <c:v>1913</c:v>
                </c:pt>
                <c:pt idx="3">
                  <c:v>1914</c:v>
                </c:pt>
                <c:pt idx="4">
                  <c:v>1915</c:v>
                </c:pt>
                <c:pt idx="5">
                  <c:v>1916</c:v>
                </c:pt>
                <c:pt idx="6">
                  <c:v>1917</c:v>
                </c:pt>
                <c:pt idx="7">
                  <c:v>1918</c:v>
                </c:pt>
                <c:pt idx="8">
                  <c:v>1919</c:v>
                </c:pt>
                <c:pt idx="9">
                  <c:v>1920</c:v>
                </c:pt>
                <c:pt idx="10">
                  <c:v>1921</c:v>
                </c:pt>
                <c:pt idx="11">
                  <c:v>1922</c:v>
                </c:pt>
                <c:pt idx="12">
                  <c:v>1923</c:v>
                </c:pt>
                <c:pt idx="13">
                  <c:v>1924</c:v>
                </c:pt>
                <c:pt idx="14">
                  <c:v>1925</c:v>
                </c:pt>
                <c:pt idx="15">
                  <c:v>1926</c:v>
                </c:pt>
                <c:pt idx="16">
                  <c:v>1927</c:v>
                </c:pt>
                <c:pt idx="17">
                  <c:v>1928</c:v>
                </c:pt>
                <c:pt idx="18">
                  <c:v>1929</c:v>
                </c:pt>
                <c:pt idx="19">
                  <c:v>1930</c:v>
                </c:pt>
                <c:pt idx="20">
                  <c:v>1931</c:v>
                </c:pt>
                <c:pt idx="21">
                  <c:v>1932</c:v>
                </c:pt>
                <c:pt idx="22">
                  <c:v>1933</c:v>
                </c:pt>
                <c:pt idx="23">
                  <c:v>1934</c:v>
                </c:pt>
                <c:pt idx="24">
                  <c:v>1935</c:v>
                </c:pt>
                <c:pt idx="25">
                  <c:v>1936</c:v>
                </c:pt>
                <c:pt idx="26">
                  <c:v>1937</c:v>
                </c:pt>
                <c:pt idx="27">
                  <c:v>1938</c:v>
                </c:pt>
                <c:pt idx="28">
                  <c:v>1939</c:v>
                </c:pt>
                <c:pt idx="29">
                  <c:v>1940</c:v>
                </c:pt>
                <c:pt idx="30">
                  <c:v>1941</c:v>
                </c:pt>
                <c:pt idx="31">
                  <c:v>1942</c:v>
                </c:pt>
                <c:pt idx="32">
                  <c:v>1943</c:v>
                </c:pt>
                <c:pt idx="33">
                  <c:v>1944</c:v>
                </c:pt>
                <c:pt idx="34">
                  <c:v>1945</c:v>
                </c:pt>
                <c:pt idx="35">
                  <c:v>1946</c:v>
                </c:pt>
                <c:pt idx="36">
                  <c:v>1947</c:v>
                </c:pt>
                <c:pt idx="37">
                  <c:v>1948</c:v>
                </c:pt>
                <c:pt idx="38">
                  <c:v>1949</c:v>
                </c:pt>
                <c:pt idx="39">
                  <c:v>1950</c:v>
                </c:pt>
                <c:pt idx="40">
                  <c:v>1951</c:v>
                </c:pt>
                <c:pt idx="41">
                  <c:v>1952</c:v>
                </c:pt>
                <c:pt idx="42">
                  <c:v>1953</c:v>
                </c:pt>
                <c:pt idx="43">
                  <c:v>1954</c:v>
                </c:pt>
                <c:pt idx="44">
                  <c:v>1955</c:v>
                </c:pt>
                <c:pt idx="45">
                  <c:v>1956</c:v>
                </c:pt>
                <c:pt idx="46">
                  <c:v>1957</c:v>
                </c:pt>
                <c:pt idx="47">
                  <c:v>1958</c:v>
                </c:pt>
                <c:pt idx="48">
                  <c:v>1959</c:v>
                </c:pt>
                <c:pt idx="49">
                  <c:v>1960</c:v>
                </c:pt>
                <c:pt idx="50">
                  <c:v>1961</c:v>
                </c:pt>
                <c:pt idx="51">
                  <c:v>1962</c:v>
                </c:pt>
                <c:pt idx="52">
                  <c:v>1963</c:v>
                </c:pt>
                <c:pt idx="53">
                  <c:v>1964</c:v>
                </c:pt>
                <c:pt idx="54">
                  <c:v>1965</c:v>
                </c:pt>
                <c:pt idx="55">
                  <c:v>1966</c:v>
                </c:pt>
                <c:pt idx="56">
                  <c:v>1967</c:v>
                </c:pt>
                <c:pt idx="57">
                  <c:v>1968</c:v>
                </c:pt>
                <c:pt idx="58">
                  <c:v>1969</c:v>
                </c:pt>
                <c:pt idx="59">
                  <c:v>1970</c:v>
                </c:pt>
                <c:pt idx="60">
                  <c:v>1971</c:v>
                </c:pt>
                <c:pt idx="61">
                  <c:v>1972</c:v>
                </c:pt>
                <c:pt idx="62">
                  <c:v>1973</c:v>
                </c:pt>
                <c:pt idx="63">
                  <c:v>1974</c:v>
                </c:pt>
                <c:pt idx="64">
                  <c:v>1975</c:v>
                </c:pt>
                <c:pt idx="65">
                  <c:v>1976</c:v>
                </c:pt>
                <c:pt idx="66">
                  <c:v>1977</c:v>
                </c:pt>
                <c:pt idx="67">
                  <c:v>1978</c:v>
                </c:pt>
                <c:pt idx="68">
                  <c:v>1979</c:v>
                </c:pt>
                <c:pt idx="69">
                  <c:v>1980</c:v>
                </c:pt>
                <c:pt idx="70">
                  <c:v>1981</c:v>
                </c:pt>
                <c:pt idx="71">
                  <c:v>1982</c:v>
                </c:pt>
                <c:pt idx="72">
                  <c:v>1983</c:v>
                </c:pt>
                <c:pt idx="73">
                  <c:v>1984</c:v>
                </c:pt>
                <c:pt idx="74">
                  <c:v>1985</c:v>
                </c:pt>
                <c:pt idx="75">
                  <c:v>1986</c:v>
                </c:pt>
                <c:pt idx="76">
                  <c:v>1987</c:v>
                </c:pt>
                <c:pt idx="77">
                  <c:v>1988</c:v>
                </c:pt>
                <c:pt idx="78">
                  <c:v>1989</c:v>
                </c:pt>
                <c:pt idx="79">
                  <c:v>1990</c:v>
                </c:pt>
                <c:pt idx="80">
                  <c:v>1991</c:v>
                </c:pt>
                <c:pt idx="81">
                  <c:v>1992</c:v>
                </c:pt>
                <c:pt idx="82">
                  <c:v>1993</c:v>
                </c:pt>
                <c:pt idx="83">
                  <c:v>1994</c:v>
                </c:pt>
                <c:pt idx="84">
                  <c:v>1995</c:v>
                </c:pt>
                <c:pt idx="85">
                  <c:v>1996</c:v>
                </c:pt>
                <c:pt idx="86">
                  <c:v>1997</c:v>
                </c:pt>
                <c:pt idx="87">
                  <c:v>1998</c:v>
                </c:pt>
                <c:pt idx="88">
                  <c:v>1999</c:v>
                </c:pt>
                <c:pt idx="89">
                  <c:v>2000</c:v>
                </c:pt>
                <c:pt idx="90">
                  <c:v>2001</c:v>
                </c:pt>
                <c:pt idx="91">
                  <c:v>2002</c:v>
                </c:pt>
                <c:pt idx="92">
                  <c:v>2003</c:v>
                </c:pt>
                <c:pt idx="93">
                  <c:v>2004</c:v>
                </c:pt>
                <c:pt idx="94">
                  <c:v>2005</c:v>
                </c:pt>
                <c:pt idx="95">
                  <c:v>2006</c:v>
                </c:pt>
                <c:pt idx="96">
                  <c:v>2007</c:v>
                </c:pt>
                <c:pt idx="97">
                  <c:v>2008</c:v>
                </c:pt>
              </c:strCache>
            </c:strRef>
          </c:cat>
          <c:val>
            <c:numRef>
              <c:f>'HD consolidated'!$C$35:$CV$35</c:f>
              <c:numCache>
                <c:formatCode>General</c:formatCode>
                <c:ptCount val="98"/>
                <c:pt idx="0">
                  <c:v>0.40041190372537511</c:v>
                </c:pt>
                <c:pt idx="1">
                  <c:v>0.34355700168976511</c:v>
                </c:pt>
                <c:pt idx="2">
                  <c:v>0.33697407350857922</c:v>
                </c:pt>
                <c:pt idx="3">
                  <c:v>0.32614894519471421</c:v>
                </c:pt>
                <c:pt idx="4">
                  <c:v>0.31575897372682621</c:v>
                </c:pt>
                <c:pt idx="5">
                  <c:v>0.29357791877171202</c:v>
                </c:pt>
                <c:pt idx="6">
                  <c:v>0.2692625754692361</c:v>
                </c:pt>
                <c:pt idx="7">
                  <c:v>0.26067335260342289</c:v>
                </c:pt>
                <c:pt idx="8">
                  <c:v>0.243070639340598</c:v>
                </c:pt>
                <c:pt idx="9">
                  <c:v>0.21361800028327199</c:v>
                </c:pt>
                <c:pt idx="10">
                  <c:v>0.215724712676546</c:v>
                </c:pt>
                <c:pt idx="11">
                  <c:v>0.21289931681550706</c:v>
                </c:pt>
                <c:pt idx="12">
                  <c:v>0.19839994730341001</c:v>
                </c:pt>
                <c:pt idx="13">
                  <c:v>0.18907931303215406</c:v>
                </c:pt>
                <c:pt idx="14">
                  <c:v>0.171873542262343</c:v>
                </c:pt>
                <c:pt idx="15">
                  <c:v>0.15743705659365906</c:v>
                </c:pt>
                <c:pt idx="16">
                  <c:v>0.14611731353220411</c:v>
                </c:pt>
                <c:pt idx="17">
                  <c:v>0.131033770474376</c:v>
                </c:pt>
                <c:pt idx="18">
                  <c:v>7.8348276422985794E-2</c:v>
                </c:pt>
                <c:pt idx="19">
                  <c:v>6.9330028154182904E-2</c:v>
                </c:pt>
                <c:pt idx="20">
                  <c:v>5.9025420925554621E-2</c:v>
                </c:pt>
                <c:pt idx="21">
                  <c:v>4.0660602458358598E-2</c:v>
                </c:pt>
                <c:pt idx="22">
                  <c:v>2.312004821483199E-2</c:v>
                </c:pt>
                <c:pt idx="23">
                  <c:v>6.1535993335703913E-2</c:v>
                </c:pt>
                <c:pt idx="24">
                  <c:v>8.7786128609222705E-2</c:v>
                </c:pt>
                <c:pt idx="25">
                  <c:v>0.15358296949515199</c:v>
                </c:pt>
                <c:pt idx="26">
                  <c:v>0.20393424703137011</c:v>
                </c:pt>
                <c:pt idx="27">
                  <c:v>0.19380317276122205</c:v>
                </c:pt>
                <c:pt idx="28">
                  <c:v>0.17831064810635006</c:v>
                </c:pt>
                <c:pt idx="29">
                  <c:v>0.14548004601807901</c:v>
                </c:pt>
                <c:pt idx="30">
                  <c:v>0.17516445440065401</c:v>
                </c:pt>
                <c:pt idx="31">
                  <c:v>0.14186601245245906</c:v>
                </c:pt>
                <c:pt idx="32">
                  <c:v>0.11075216643640702</c:v>
                </c:pt>
                <c:pt idx="33">
                  <c:v>0.12478383500829003</c:v>
                </c:pt>
                <c:pt idx="34">
                  <c:v>0.12678430307507399</c:v>
                </c:pt>
                <c:pt idx="35">
                  <c:v>0.20214923894337206</c:v>
                </c:pt>
                <c:pt idx="36">
                  <c:v>0.27134060374523811</c:v>
                </c:pt>
                <c:pt idx="37">
                  <c:v>0.35127335367656587</c:v>
                </c:pt>
                <c:pt idx="38">
                  <c:v>0.317941359721438</c:v>
                </c:pt>
                <c:pt idx="39">
                  <c:v>0.28337811523699813</c:v>
                </c:pt>
                <c:pt idx="40">
                  <c:v>0.34255265161126702</c:v>
                </c:pt>
                <c:pt idx="41">
                  <c:v>0.38209606986918915</c:v>
                </c:pt>
                <c:pt idx="42">
                  <c:v>0.39638643067864432</c:v>
                </c:pt>
                <c:pt idx="43">
                  <c:v>0.39622113365993811</c:v>
                </c:pt>
                <c:pt idx="44">
                  <c:v>0.40084337349397597</c:v>
                </c:pt>
                <c:pt idx="45">
                  <c:v>0.41823027759087911</c:v>
                </c:pt>
                <c:pt idx="46">
                  <c:v>0.32496540201690011</c:v>
                </c:pt>
                <c:pt idx="47">
                  <c:v>0.31706976803178111</c:v>
                </c:pt>
                <c:pt idx="48">
                  <c:v>0.28988057602356421</c:v>
                </c:pt>
                <c:pt idx="49">
                  <c:v>0.26162507956483311</c:v>
                </c:pt>
                <c:pt idx="50">
                  <c:v>0.22612084110568295</c:v>
                </c:pt>
                <c:pt idx="51">
                  <c:v>0.20120238545551206</c:v>
                </c:pt>
                <c:pt idx="52">
                  <c:v>0.17903353066338901</c:v>
                </c:pt>
                <c:pt idx="53">
                  <c:v>0.11816652725532703</c:v>
                </c:pt>
                <c:pt idx="54">
                  <c:v>0.112365374185863</c:v>
                </c:pt>
                <c:pt idx="55">
                  <c:v>0.105524894239737</c:v>
                </c:pt>
                <c:pt idx="56">
                  <c:v>0.13751360144948799</c:v>
                </c:pt>
                <c:pt idx="57">
                  <c:v>9.0373444967916883E-2</c:v>
                </c:pt>
                <c:pt idx="58">
                  <c:v>8.5046232339376707E-2</c:v>
                </c:pt>
                <c:pt idx="59">
                  <c:v>9.8924622384754274E-2</c:v>
                </c:pt>
                <c:pt idx="60">
                  <c:v>9.6001355023313528E-2</c:v>
                </c:pt>
                <c:pt idx="61">
                  <c:v>8.4932468205864545E-2</c:v>
                </c:pt>
                <c:pt idx="62">
                  <c:v>7.0281215671915087E-2</c:v>
                </c:pt>
                <c:pt idx="63">
                  <c:v>4.1090537757703917E-2</c:v>
                </c:pt>
                <c:pt idx="64">
                  <c:v>3.2798742397542303E-2</c:v>
                </c:pt>
                <c:pt idx="65">
                  <c:v>2.2061757121441511E-2</c:v>
                </c:pt>
                <c:pt idx="66">
                  <c:v>2.2561593963496E-2</c:v>
                </c:pt>
                <c:pt idx="67">
                  <c:v>2.5372283416926409E-2</c:v>
                </c:pt>
                <c:pt idx="68">
                  <c:v>0.10281641209679297</c:v>
                </c:pt>
                <c:pt idx="69">
                  <c:v>0.100737714642485</c:v>
                </c:pt>
                <c:pt idx="70">
                  <c:v>0.13042632279845201</c:v>
                </c:pt>
                <c:pt idx="71">
                  <c:v>0.12202340944969703</c:v>
                </c:pt>
                <c:pt idx="72">
                  <c:v>0.10681061702429</c:v>
                </c:pt>
                <c:pt idx="73">
                  <c:v>0.12808404708194401</c:v>
                </c:pt>
                <c:pt idx="74">
                  <c:v>0.16440606457081106</c:v>
                </c:pt>
                <c:pt idx="75">
                  <c:v>0.15934974320977899</c:v>
                </c:pt>
                <c:pt idx="76">
                  <c:v>0.15820588613300107</c:v>
                </c:pt>
                <c:pt idx="77">
                  <c:v>0.18319481906431001</c:v>
                </c:pt>
                <c:pt idx="78">
                  <c:v>0.21505390176756906</c:v>
                </c:pt>
                <c:pt idx="79">
                  <c:v>0.22319797186186799</c:v>
                </c:pt>
                <c:pt idx="80">
                  <c:v>0.29140397737738621</c:v>
                </c:pt>
                <c:pt idx="81">
                  <c:v>0.33815812236911214</c:v>
                </c:pt>
                <c:pt idx="82">
                  <c:v>0.33708530075331811</c:v>
                </c:pt>
                <c:pt idx="83">
                  <c:v>0.27275529960168199</c:v>
                </c:pt>
                <c:pt idx="84">
                  <c:v>0.26937926568032711</c:v>
                </c:pt>
                <c:pt idx="85">
                  <c:v>0.28138095942419811</c:v>
                </c:pt>
                <c:pt idx="86">
                  <c:v>0.33038442189507233</c:v>
                </c:pt>
                <c:pt idx="87">
                  <c:v>0.3416144018583061</c:v>
                </c:pt>
                <c:pt idx="88">
                  <c:v>0.32406423224191511</c:v>
                </c:pt>
                <c:pt idx="89">
                  <c:v>0.32344452116057615</c:v>
                </c:pt>
                <c:pt idx="90">
                  <c:v>0.30744058066197211</c:v>
                </c:pt>
                <c:pt idx="91">
                  <c:v>0.26965092657849993</c:v>
                </c:pt>
                <c:pt idx="92">
                  <c:v>0.22623663325578897</c:v>
                </c:pt>
                <c:pt idx="93">
                  <c:v>0.20998690272296011</c:v>
                </c:pt>
                <c:pt idx="94">
                  <c:v>0.21410334001588699</c:v>
                </c:pt>
                <c:pt idx="95">
                  <c:v>0.21971443516685013</c:v>
                </c:pt>
                <c:pt idx="96">
                  <c:v>0.29289800798811011</c:v>
                </c:pt>
                <c:pt idx="97">
                  <c:v>0.30974946130531911</c:v>
                </c:pt>
              </c:numCache>
            </c:numRef>
          </c:val>
        </c:ser>
        <c:marker val="1"/>
        <c:axId val="69576960"/>
        <c:axId val="69578752"/>
      </c:lineChart>
      <c:catAx>
        <c:axId val="69576960"/>
        <c:scaling>
          <c:orientation val="minMax"/>
        </c:scaling>
        <c:axPos val="b"/>
        <c:tickLblPos val="nextTo"/>
        <c:txPr>
          <a:bodyPr/>
          <a:lstStyle/>
          <a:p>
            <a:pPr>
              <a:defRPr lang="en-IN"/>
            </a:pPr>
            <a:endParaRPr lang="en-US"/>
          </a:p>
        </c:txPr>
        <c:crossAx val="69578752"/>
        <c:crosses val="autoZero"/>
        <c:auto val="1"/>
        <c:lblAlgn val="ctr"/>
        <c:lblOffset val="100"/>
      </c:catAx>
      <c:valAx>
        <c:axId val="69578752"/>
        <c:scaling>
          <c:orientation val="minMax"/>
          <c:max val="0.5"/>
        </c:scaling>
        <c:axPos val="l"/>
        <c:majorGridlines/>
        <c:numFmt formatCode="#,##0.000" sourceLinked="0"/>
        <c:tickLblPos val="nextTo"/>
        <c:txPr>
          <a:bodyPr/>
          <a:lstStyle/>
          <a:p>
            <a:pPr>
              <a:defRPr lang="en-IN"/>
            </a:pPr>
            <a:endParaRPr lang="en-US"/>
          </a:p>
        </c:txPr>
        <c:crossAx val="69576960"/>
        <c:crosses val="autoZero"/>
        <c:crossBetween val="between"/>
        <c:majorUnit val="0.1"/>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diagram'!$B$37</c:f>
              <c:strCache>
                <c:ptCount val="1"/>
                <c:pt idx="0">
                  <c:v>TotDebttoTA </c:v>
                </c:pt>
              </c:strCache>
            </c:strRef>
          </c:tx>
          <c:spPr>
            <a:ln>
              <a:solidFill>
                <a:schemeClr val="tx1"/>
              </a:solidFill>
            </a:ln>
          </c:spPr>
          <c:marker>
            <c:symbol val="none"/>
          </c:marker>
          <c:cat>
            <c:numRef>
              <c:f>'HD diagram'!$C$36:$CN$36</c:f>
              <c:numCache>
                <c:formatCode>General</c:formatCode>
                <c:ptCount val="90"/>
                <c:pt idx="0">
                  <c:v>1919</c:v>
                </c:pt>
                <c:pt idx="1">
                  <c:v>1920</c:v>
                </c:pt>
                <c:pt idx="2">
                  <c:v>1921</c:v>
                </c:pt>
                <c:pt idx="3">
                  <c:v>1922</c:v>
                </c:pt>
                <c:pt idx="4">
                  <c:v>1923</c:v>
                </c:pt>
                <c:pt idx="5">
                  <c:v>1924</c:v>
                </c:pt>
                <c:pt idx="6">
                  <c:v>1925</c:v>
                </c:pt>
                <c:pt idx="7">
                  <c:v>1926</c:v>
                </c:pt>
                <c:pt idx="8">
                  <c:v>1927</c:v>
                </c:pt>
                <c:pt idx="9">
                  <c:v>1928</c:v>
                </c:pt>
                <c:pt idx="10">
                  <c:v>1929</c:v>
                </c:pt>
                <c:pt idx="11">
                  <c:v>1930</c:v>
                </c:pt>
                <c:pt idx="12">
                  <c:v>1931</c:v>
                </c:pt>
                <c:pt idx="13">
                  <c:v>1932</c:v>
                </c:pt>
                <c:pt idx="14">
                  <c:v>1933</c:v>
                </c:pt>
                <c:pt idx="15">
                  <c:v>1934</c:v>
                </c:pt>
                <c:pt idx="16">
                  <c:v>1935</c:v>
                </c:pt>
                <c:pt idx="17">
                  <c:v>1936</c:v>
                </c:pt>
                <c:pt idx="18">
                  <c:v>1937</c:v>
                </c:pt>
                <c:pt idx="19">
                  <c:v>1938</c:v>
                </c:pt>
                <c:pt idx="20">
                  <c:v>1939</c:v>
                </c:pt>
                <c:pt idx="21">
                  <c:v>1940</c:v>
                </c:pt>
                <c:pt idx="22">
                  <c:v>1941</c:v>
                </c:pt>
                <c:pt idx="23">
                  <c:v>1942</c:v>
                </c:pt>
                <c:pt idx="24">
                  <c:v>1943</c:v>
                </c:pt>
                <c:pt idx="25">
                  <c:v>1944</c:v>
                </c:pt>
                <c:pt idx="26">
                  <c:v>1945</c:v>
                </c:pt>
                <c:pt idx="27">
                  <c:v>1946</c:v>
                </c:pt>
                <c:pt idx="28">
                  <c:v>1947</c:v>
                </c:pt>
                <c:pt idx="29">
                  <c:v>1948</c:v>
                </c:pt>
                <c:pt idx="30">
                  <c:v>1949</c:v>
                </c:pt>
                <c:pt idx="31">
                  <c:v>1950</c:v>
                </c:pt>
                <c:pt idx="32">
                  <c:v>1951</c:v>
                </c:pt>
                <c:pt idx="33">
                  <c:v>1952</c:v>
                </c:pt>
                <c:pt idx="34">
                  <c:v>1953</c:v>
                </c:pt>
                <c:pt idx="35">
                  <c:v>1954</c:v>
                </c:pt>
                <c:pt idx="36">
                  <c:v>1955</c:v>
                </c:pt>
                <c:pt idx="37">
                  <c:v>1956</c:v>
                </c:pt>
                <c:pt idx="38">
                  <c:v>1957</c:v>
                </c:pt>
                <c:pt idx="39">
                  <c:v>1958</c:v>
                </c:pt>
                <c:pt idx="40">
                  <c:v>1959</c:v>
                </c:pt>
                <c:pt idx="41">
                  <c:v>1960</c:v>
                </c:pt>
                <c:pt idx="42">
                  <c:v>1961</c:v>
                </c:pt>
                <c:pt idx="43">
                  <c:v>1962</c:v>
                </c:pt>
                <c:pt idx="44">
                  <c:v>1963</c:v>
                </c:pt>
                <c:pt idx="45">
                  <c:v>1964</c:v>
                </c:pt>
                <c:pt idx="46">
                  <c:v>1965</c:v>
                </c:pt>
                <c:pt idx="47">
                  <c:v>1966</c:v>
                </c:pt>
                <c:pt idx="48">
                  <c:v>1967</c:v>
                </c:pt>
                <c:pt idx="49">
                  <c:v>1968</c:v>
                </c:pt>
                <c:pt idx="50">
                  <c:v>1969</c:v>
                </c:pt>
                <c:pt idx="51">
                  <c:v>1970</c:v>
                </c:pt>
                <c:pt idx="52">
                  <c:v>1971</c:v>
                </c:pt>
                <c:pt idx="53">
                  <c:v>1972</c:v>
                </c:pt>
                <c:pt idx="54">
                  <c:v>1973</c:v>
                </c:pt>
                <c:pt idx="55">
                  <c:v>1974</c:v>
                </c:pt>
                <c:pt idx="56">
                  <c:v>1975</c:v>
                </c:pt>
                <c:pt idx="57">
                  <c:v>1976</c:v>
                </c:pt>
                <c:pt idx="58">
                  <c:v>1977</c:v>
                </c:pt>
                <c:pt idx="59">
                  <c:v>1978</c:v>
                </c:pt>
                <c:pt idx="60">
                  <c:v>1979</c:v>
                </c:pt>
                <c:pt idx="61">
                  <c:v>1980</c:v>
                </c:pt>
                <c:pt idx="62">
                  <c:v>1981</c:v>
                </c:pt>
                <c:pt idx="63">
                  <c:v>1982</c:v>
                </c:pt>
                <c:pt idx="64">
                  <c:v>1983</c:v>
                </c:pt>
                <c:pt idx="65">
                  <c:v>1984</c:v>
                </c:pt>
                <c:pt idx="66">
                  <c:v>1985</c:v>
                </c:pt>
                <c:pt idx="67">
                  <c:v>1986</c:v>
                </c:pt>
                <c:pt idx="68">
                  <c:v>1987</c:v>
                </c:pt>
                <c:pt idx="69">
                  <c:v>1988</c:v>
                </c:pt>
                <c:pt idx="70">
                  <c:v>1989</c:v>
                </c:pt>
                <c:pt idx="71">
                  <c:v>1990</c:v>
                </c:pt>
                <c:pt idx="72">
                  <c:v>1991</c:v>
                </c:pt>
                <c:pt idx="73">
                  <c:v>1992</c:v>
                </c:pt>
                <c:pt idx="74">
                  <c:v>1993</c:v>
                </c:pt>
                <c:pt idx="75">
                  <c:v>1994</c:v>
                </c:pt>
                <c:pt idx="76">
                  <c:v>1995</c:v>
                </c:pt>
                <c:pt idx="77">
                  <c:v>1996</c:v>
                </c:pt>
                <c:pt idx="78">
                  <c:v>1997</c:v>
                </c:pt>
                <c:pt idx="79">
                  <c:v>1998</c:v>
                </c:pt>
                <c:pt idx="80">
                  <c:v>1999</c:v>
                </c:pt>
                <c:pt idx="81">
                  <c:v>2000</c:v>
                </c:pt>
                <c:pt idx="82">
                  <c:v>2001</c:v>
                </c:pt>
                <c:pt idx="83">
                  <c:v>2002</c:v>
                </c:pt>
                <c:pt idx="84">
                  <c:v>2003</c:v>
                </c:pt>
                <c:pt idx="85">
                  <c:v>2004</c:v>
                </c:pt>
                <c:pt idx="86">
                  <c:v>2005</c:v>
                </c:pt>
                <c:pt idx="87">
                  <c:v>2006</c:v>
                </c:pt>
                <c:pt idx="88">
                  <c:v>2007</c:v>
                </c:pt>
                <c:pt idx="89">
                  <c:v>2008</c:v>
                </c:pt>
              </c:numCache>
            </c:numRef>
          </c:cat>
          <c:val>
            <c:numRef>
              <c:f>'HD diagram'!$C$37:$CN$37</c:f>
              <c:numCache>
                <c:formatCode>0.000</c:formatCode>
                <c:ptCount val="90"/>
                <c:pt idx="0">
                  <c:v>0.24004369947542312</c:v>
                </c:pt>
                <c:pt idx="1">
                  <c:v>0.25393099565809102</c:v>
                </c:pt>
                <c:pt idx="2">
                  <c:v>0.14888809926019506</c:v>
                </c:pt>
                <c:pt idx="3">
                  <c:v>0.11101788780473594</c:v>
                </c:pt>
                <c:pt idx="4">
                  <c:v>6.8707459426279011E-2</c:v>
                </c:pt>
                <c:pt idx="5">
                  <c:v>0</c:v>
                </c:pt>
                <c:pt idx="6">
                  <c:v>0</c:v>
                </c:pt>
                <c:pt idx="7">
                  <c:v>0</c:v>
                </c:pt>
                <c:pt idx="8">
                  <c:v>0</c:v>
                </c:pt>
                <c:pt idx="9">
                  <c:v>0.10856541534565503</c:v>
                </c:pt>
                <c:pt idx="10">
                  <c:v>9.872284631301978E-2</c:v>
                </c:pt>
                <c:pt idx="11">
                  <c:v>8.2452946479553105E-2</c:v>
                </c:pt>
                <c:pt idx="12">
                  <c:v>6.4426941801150134E-2</c:v>
                </c:pt>
                <c:pt idx="13">
                  <c:v>7.1578539299728294E-2</c:v>
                </c:pt>
                <c:pt idx="14">
                  <c:v>6.8948235694995405E-2</c:v>
                </c:pt>
                <c:pt idx="15">
                  <c:v>0</c:v>
                </c:pt>
                <c:pt idx="16">
                  <c:v>0</c:v>
                </c:pt>
                <c:pt idx="17">
                  <c:v>0</c:v>
                </c:pt>
                <c:pt idx="18">
                  <c:v>1.35693845595917E-2</c:v>
                </c:pt>
                <c:pt idx="19">
                  <c:v>0</c:v>
                </c:pt>
                <c:pt idx="20">
                  <c:v>0</c:v>
                </c:pt>
                <c:pt idx="21">
                  <c:v>0</c:v>
                </c:pt>
                <c:pt idx="22">
                  <c:v>0</c:v>
                </c:pt>
                <c:pt idx="23">
                  <c:v>2.7782082876992801E-2</c:v>
                </c:pt>
                <c:pt idx="24">
                  <c:v>1.8515656753305704E-3</c:v>
                </c:pt>
                <c:pt idx="25">
                  <c:v>0</c:v>
                </c:pt>
                <c:pt idx="26">
                  <c:v>0</c:v>
                </c:pt>
                <c:pt idx="27">
                  <c:v>0</c:v>
                </c:pt>
                <c:pt idx="28">
                  <c:v>0</c:v>
                </c:pt>
                <c:pt idx="29">
                  <c:v>6.8740650736046433E-2</c:v>
                </c:pt>
                <c:pt idx="30">
                  <c:v>1.8078102271647901E-2</c:v>
                </c:pt>
                <c:pt idx="31">
                  <c:v>1.9259907532460301E-2</c:v>
                </c:pt>
                <c:pt idx="32">
                  <c:v>7.2183098591549311E-2</c:v>
                </c:pt>
                <c:pt idx="33">
                  <c:v>7.2055137844612524E-2</c:v>
                </c:pt>
                <c:pt idx="34">
                  <c:v>7.1635012386457378E-2</c:v>
                </c:pt>
                <c:pt idx="35">
                  <c:v>6.2593984962415236E-2</c:v>
                </c:pt>
                <c:pt idx="36">
                  <c:v>7.6774420238932134E-2</c:v>
                </c:pt>
                <c:pt idx="37">
                  <c:v>9.3027098479860487E-2</c:v>
                </c:pt>
                <c:pt idx="38">
                  <c:v>0.16996476009758699</c:v>
                </c:pt>
                <c:pt idx="39">
                  <c:v>0.14760147601476001</c:v>
                </c:pt>
                <c:pt idx="40">
                  <c:v>0.12144102266124403</c:v>
                </c:pt>
                <c:pt idx="41">
                  <c:v>0.11347517730496498</c:v>
                </c:pt>
                <c:pt idx="42">
                  <c:v>0.10562347188265206</c:v>
                </c:pt>
                <c:pt idx="43">
                  <c:v>0.108950843727073</c:v>
                </c:pt>
                <c:pt idx="44">
                  <c:v>0.10482770532861503</c:v>
                </c:pt>
                <c:pt idx="45">
                  <c:v>9.6595299962174044E-2</c:v>
                </c:pt>
                <c:pt idx="46">
                  <c:v>9.6517710580730498E-2</c:v>
                </c:pt>
                <c:pt idx="47">
                  <c:v>9.0077372883303225E-2</c:v>
                </c:pt>
                <c:pt idx="48">
                  <c:v>8.5138685146778595E-2</c:v>
                </c:pt>
                <c:pt idx="49">
                  <c:v>9.2188474269210799E-2</c:v>
                </c:pt>
                <c:pt idx="50">
                  <c:v>8.8412029339506606E-2</c:v>
                </c:pt>
                <c:pt idx="51">
                  <c:v>8.5815017870716284E-2</c:v>
                </c:pt>
                <c:pt idx="52">
                  <c:v>7.64603957444948E-2</c:v>
                </c:pt>
                <c:pt idx="53">
                  <c:v>0.10694746528004298</c:v>
                </c:pt>
                <c:pt idx="54">
                  <c:v>0.10585899758678798</c:v>
                </c:pt>
                <c:pt idx="55">
                  <c:v>9.8146335682160232E-2</c:v>
                </c:pt>
                <c:pt idx="56">
                  <c:v>0.17221525168008706</c:v>
                </c:pt>
                <c:pt idx="57">
                  <c:v>0.15645363188622313</c:v>
                </c:pt>
                <c:pt idx="58">
                  <c:v>0.14681657805875595</c:v>
                </c:pt>
                <c:pt idx="59">
                  <c:v>0.13516177272300994</c:v>
                </c:pt>
                <c:pt idx="60">
                  <c:v>0.13938987839060696</c:v>
                </c:pt>
                <c:pt idx="61">
                  <c:v>0.17409662684228205</c:v>
                </c:pt>
                <c:pt idx="62">
                  <c:v>0.14624335583969711</c:v>
                </c:pt>
                <c:pt idx="63">
                  <c:v>0.13981358189081206</c:v>
                </c:pt>
                <c:pt idx="64">
                  <c:v>0.124031960663798</c:v>
                </c:pt>
                <c:pt idx="65">
                  <c:v>0.110923803101821</c:v>
                </c:pt>
                <c:pt idx="66">
                  <c:v>0.13177734173294806</c:v>
                </c:pt>
                <c:pt idx="67">
                  <c:v>0.24657219456149615</c:v>
                </c:pt>
                <c:pt idx="68">
                  <c:v>0.22048851622310994</c:v>
                </c:pt>
                <c:pt idx="69">
                  <c:v>0.22699055330634299</c:v>
                </c:pt>
                <c:pt idx="70">
                  <c:v>0.26487676594710929</c:v>
                </c:pt>
                <c:pt idx="71">
                  <c:v>0.242602910153081</c:v>
                </c:pt>
                <c:pt idx="72">
                  <c:v>0.29704905217901101</c:v>
                </c:pt>
                <c:pt idx="73">
                  <c:v>0.30072840790847821</c:v>
                </c:pt>
                <c:pt idx="74">
                  <c:v>0.28016843793868013</c:v>
                </c:pt>
                <c:pt idx="75">
                  <c:v>0.24887409438026906</c:v>
                </c:pt>
                <c:pt idx="76">
                  <c:v>0.21799111111113811</c:v>
                </c:pt>
                <c:pt idx="77">
                  <c:v>0.20865488640461594</c:v>
                </c:pt>
                <c:pt idx="78">
                  <c:v>0.18123729305840211</c:v>
                </c:pt>
                <c:pt idx="79">
                  <c:v>0.25983336562681708</c:v>
                </c:pt>
                <c:pt idx="80">
                  <c:v>0.2921246847071281</c:v>
                </c:pt>
                <c:pt idx="81">
                  <c:v>0.35462361817862798</c:v>
                </c:pt>
                <c:pt idx="82">
                  <c:v>0.34969610608660301</c:v>
                </c:pt>
                <c:pt idx="83">
                  <c:v>0.366195801451834</c:v>
                </c:pt>
                <c:pt idx="84">
                  <c:v>0.31224545828948008</c:v>
                </c:pt>
                <c:pt idx="85">
                  <c:v>0.36532393773669114</c:v>
                </c:pt>
                <c:pt idx="86">
                  <c:v>0.39540364392872113</c:v>
                </c:pt>
                <c:pt idx="87">
                  <c:v>0.2808062198312391</c:v>
                </c:pt>
                <c:pt idx="88">
                  <c:v>0.25659715681014689</c:v>
                </c:pt>
                <c:pt idx="89">
                  <c:v>0.25463220178898799</c:v>
                </c:pt>
              </c:numCache>
            </c:numRef>
          </c:val>
        </c:ser>
        <c:marker val="1"/>
        <c:axId val="69607424"/>
        <c:axId val="69608960"/>
      </c:lineChart>
      <c:catAx>
        <c:axId val="69607424"/>
        <c:scaling>
          <c:orientation val="minMax"/>
        </c:scaling>
        <c:axPos val="b"/>
        <c:numFmt formatCode="General" sourceLinked="1"/>
        <c:tickLblPos val="nextTo"/>
        <c:txPr>
          <a:bodyPr/>
          <a:lstStyle/>
          <a:p>
            <a:pPr>
              <a:defRPr lang="en-IN"/>
            </a:pPr>
            <a:endParaRPr lang="en-US"/>
          </a:p>
        </c:txPr>
        <c:crossAx val="69608960"/>
        <c:crosses val="autoZero"/>
        <c:auto val="1"/>
        <c:lblAlgn val="ctr"/>
        <c:lblOffset val="100"/>
      </c:catAx>
      <c:valAx>
        <c:axId val="69608960"/>
        <c:scaling>
          <c:orientation val="minMax"/>
          <c:max val="0.45"/>
        </c:scaling>
        <c:axPos val="l"/>
        <c:majorGridlines/>
        <c:numFmt formatCode="0.000" sourceLinked="1"/>
        <c:tickLblPos val="nextTo"/>
        <c:txPr>
          <a:bodyPr/>
          <a:lstStyle/>
          <a:p>
            <a:pPr>
              <a:defRPr lang="en-IN"/>
            </a:pPr>
            <a:endParaRPr lang="en-US"/>
          </a:p>
        </c:txPr>
        <c:crossAx val="69607424"/>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'HD diagram Honeywell'!$B$47</c:f>
              <c:strCache>
                <c:ptCount val="1"/>
                <c:pt idx="0">
                  <c:v>TotDebttoTA </c:v>
                </c:pt>
              </c:strCache>
            </c:strRef>
          </c:tx>
          <c:spPr>
            <a:ln>
              <a:solidFill>
                <a:schemeClr val="tx1"/>
              </a:solidFill>
            </a:ln>
          </c:spPr>
          <c:marker>
            <c:symbol val="none"/>
          </c:marker>
          <c:cat>
            <c:numRef>
              <c:f>'HD diagram Honeywell'!$C$46:$CM$46</c:f>
              <c:numCache>
                <c:formatCode>General</c:formatCode>
                <c:ptCount val="89"/>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pt idx="17">
                  <c:v>1937</c:v>
                </c:pt>
                <c:pt idx="18">
                  <c:v>1938</c:v>
                </c:pt>
                <c:pt idx="19">
                  <c:v>1939</c:v>
                </c:pt>
                <c:pt idx="20">
                  <c:v>1940</c:v>
                </c:pt>
                <c:pt idx="21">
                  <c:v>1941</c:v>
                </c:pt>
                <c:pt idx="22">
                  <c:v>1942</c:v>
                </c:pt>
                <c:pt idx="23">
                  <c:v>1943</c:v>
                </c:pt>
                <c:pt idx="24">
                  <c:v>1944</c:v>
                </c:pt>
                <c:pt idx="25">
                  <c:v>1945</c:v>
                </c:pt>
                <c:pt idx="26">
                  <c:v>1946</c:v>
                </c:pt>
                <c:pt idx="27">
                  <c:v>1947</c:v>
                </c:pt>
                <c:pt idx="28">
                  <c:v>1948</c:v>
                </c:pt>
                <c:pt idx="29">
                  <c:v>1949</c:v>
                </c:pt>
                <c:pt idx="30">
                  <c:v>1950</c:v>
                </c:pt>
                <c:pt idx="31">
                  <c:v>1951</c:v>
                </c:pt>
                <c:pt idx="32">
                  <c:v>1952</c:v>
                </c:pt>
                <c:pt idx="33">
                  <c:v>1953</c:v>
                </c:pt>
                <c:pt idx="34">
                  <c:v>1954</c:v>
                </c:pt>
                <c:pt idx="35">
                  <c:v>1955</c:v>
                </c:pt>
                <c:pt idx="36">
                  <c:v>1956</c:v>
                </c:pt>
                <c:pt idx="37">
                  <c:v>1957</c:v>
                </c:pt>
                <c:pt idx="38">
                  <c:v>1958</c:v>
                </c:pt>
                <c:pt idx="39">
                  <c:v>1959</c:v>
                </c:pt>
                <c:pt idx="40">
                  <c:v>1960</c:v>
                </c:pt>
                <c:pt idx="41">
                  <c:v>1961</c:v>
                </c:pt>
                <c:pt idx="42">
                  <c:v>1962</c:v>
                </c:pt>
                <c:pt idx="43">
                  <c:v>1963</c:v>
                </c:pt>
                <c:pt idx="44">
                  <c:v>1964</c:v>
                </c:pt>
                <c:pt idx="45">
                  <c:v>1965</c:v>
                </c:pt>
                <c:pt idx="46">
                  <c:v>1966</c:v>
                </c:pt>
                <c:pt idx="47">
                  <c:v>1967</c:v>
                </c:pt>
                <c:pt idx="48">
                  <c:v>1968</c:v>
                </c:pt>
                <c:pt idx="49">
                  <c:v>1969</c:v>
                </c:pt>
                <c:pt idx="50">
                  <c:v>1970</c:v>
                </c:pt>
                <c:pt idx="51">
                  <c:v>1971</c:v>
                </c:pt>
                <c:pt idx="52">
                  <c:v>1972</c:v>
                </c:pt>
                <c:pt idx="53">
                  <c:v>1973</c:v>
                </c:pt>
                <c:pt idx="54">
                  <c:v>1974</c:v>
                </c:pt>
                <c:pt idx="55">
                  <c:v>1975</c:v>
                </c:pt>
                <c:pt idx="56">
                  <c:v>1976</c:v>
                </c:pt>
                <c:pt idx="57">
                  <c:v>1977</c:v>
                </c:pt>
                <c:pt idx="58">
                  <c:v>1978</c:v>
                </c:pt>
                <c:pt idx="59">
                  <c:v>1979</c:v>
                </c:pt>
                <c:pt idx="60">
                  <c:v>1980</c:v>
                </c:pt>
                <c:pt idx="61">
                  <c:v>1981</c:v>
                </c:pt>
                <c:pt idx="62">
                  <c:v>1982</c:v>
                </c:pt>
                <c:pt idx="63">
                  <c:v>1983</c:v>
                </c:pt>
                <c:pt idx="64">
                  <c:v>1984</c:v>
                </c:pt>
                <c:pt idx="65">
                  <c:v>1985</c:v>
                </c:pt>
                <c:pt idx="66">
                  <c:v>1986</c:v>
                </c:pt>
                <c:pt idx="67">
                  <c:v>1987</c:v>
                </c:pt>
                <c:pt idx="68">
                  <c:v>1988</c:v>
                </c:pt>
                <c:pt idx="69">
                  <c:v>1989</c:v>
                </c:pt>
                <c:pt idx="70">
                  <c:v>1990</c:v>
                </c:pt>
                <c:pt idx="71">
                  <c:v>1991</c:v>
                </c:pt>
                <c:pt idx="72">
                  <c:v>1992</c:v>
                </c:pt>
                <c:pt idx="73">
                  <c:v>1993</c:v>
                </c:pt>
                <c:pt idx="74">
                  <c:v>1994</c:v>
                </c:pt>
                <c:pt idx="75">
                  <c:v>1995</c:v>
                </c:pt>
                <c:pt idx="76">
                  <c:v>1996</c:v>
                </c:pt>
                <c:pt idx="77">
                  <c:v>1997</c:v>
                </c:pt>
                <c:pt idx="78">
                  <c:v>1998</c:v>
                </c:pt>
                <c:pt idx="79">
                  <c:v>1999</c:v>
                </c:pt>
                <c:pt idx="80">
                  <c:v>2000</c:v>
                </c:pt>
                <c:pt idx="81">
                  <c:v>2001</c:v>
                </c:pt>
                <c:pt idx="82">
                  <c:v>2002</c:v>
                </c:pt>
                <c:pt idx="83">
                  <c:v>2003</c:v>
                </c:pt>
                <c:pt idx="84">
                  <c:v>2004</c:v>
                </c:pt>
                <c:pt idx="85">
                  <c:v>2005</c:v>
                </c:pt>
                <c:pt idx="86">
                  <c:v>2006</c:v>
                </c:pt>
                <c:pt idx="87">
                  <c:v>2007</c:v>
                </c:pt>
                <c:pt idx="88">
                  <c:v>2008</c:v>
                </c:pt>
              </c:numCache>
            </c:numRef>
          </c:cat>
          <c:val>
            <c:numRef>
              <c:f>'HD diagram Honeywell'!$C$47:$CM$47</c:f>
              <c:numCache>
                <c:formatCode>General</c:formatCode>
                <c:ptCount val="89"/>
                <c:pt idx="0">
                  <c:v>7.5102195182651002E-2</c:v>
                </c:pt>
                <c:pt idx="1">
                  <c:v>3.6855518836915714E-2</c:v>
                </c:pt>
                <c:pt idx="2">
                  <c:v>1.0463479357621801E-2</c:v>
                </c:pt>
                <c:pt idx="3">
                  <c:v>6.2482394203817434E-3</c:v>
                </c:pt>
                <c:pt idx="4">
                  <c:v>0</c:v>
                </c:pt>
                <c:pt idx="5">
                  <c:v>0</c:v>
                </c:pt>
                <c:pt idx="6" formatCode="_-* #,##0.00_-;\-* #,##0.00_-;_-* &quot;-&quot;??_-;_-@_-">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0.10436234606554003</c:v>
                </c:pt>
                <c:pt idx="33">
                  <c:v>0.35582123541132893</c:v>
                </c:pt>
                <c:pt idx="34">
                  <c:v>0.2903600464576081</c:v>
                </c:pt>
                <c:pt idx="35">
                  <c:v>0.27597626604112002</c:v>
                </c:pt>
                <c:pt idx="36">
                  <c:v>0.26954177897574311</c:v>
                </c:pt>
                <c:pt idx="37">
                  <c:v>0.25446133509583602</c:v>
                </c:pt>
                <c:pt idx="38">
                  <c:v>0.24736068421756005</c:v>
                </c:pt>
                <c:pt idx="39">
                  <c:v>0.223354132178785</c:v>
                </c:pt>
                <c:pt idx="40">
                  <c:v>0.211886627544013</c:v>
                </c:pt>
                <c:pt idx="41">
                  <c:v>0.19806940371456505</c:v>
                </c:pt>
                <c:pt idx="42">
                  <c:v>0.22802231659914399</c:v>
                </c:pt>
                <c:pt idx="43">
                  <c:v>0.20575584658560606</c:v>
                </c:pt>
                <c:pt idx="44">
                  <c:v>0.20040133193137608</c:v>
                </c:pt>
                <c:pt idx="45">
                  <c:v>0.23301671133533106</c:v>
                </c:pt>
                <c:pt idx="46">
                  <c:v>0.28394537787002411</c:v>
                </c:pt>
                <c:pt idx="47">
                  <c:v>0.3177079563182531</c:v>
                </c:pt>
                <c:pt idx="48">
                  <c:v>0.2932001873410951</c:v>
                </c:pt>
                <c:pt idx="49">
                  <c:v>0.3002292647909911</c:v>
                </c:pt>
                <c:pt idx="50">
                  <c:v>0.29559996890126711</c:v>
                </c:pt>
                <c:pt idx="51">
                  <c:v>0.29246644475729611</c:v>
                </c:pt>
                <c:pt idx="52">
                  <c:v>0.26642814018569411</c:v>
                </c:pt>
                <c:pt idx="53">
                  <c:v>0.24874555753761907</c:v>
                </c:pt>
                <c:pt idx="54">
                  <c:v>0.22817507590999794</c:v>
                </c:pt>
                <c:pt idx="55">
                  <c:v>0.2832716208679521</c:v>
                </c:pt>
                <c:pt idx="56">
                  <c:v>0.27044448771689911</c:v>
                </c:pt>
                <c:pt idx="57">
                  <c:v>0.30037557086812611</c:v>
                </c:pt>
                <c:pt idx="58">
                  <c:v>0.30824588616491411</c:v>
                </c:pt>
                <c:pt idx="59">
                  <c:v>0.29251255635602302</c:v>
                </c:pt>
                <c:pt idx="60">
                  <c:v>0.21110621419128706</c:v>
                </c:pt>
                <c:pt idx="61">
                  <c:v>0.17907934131744208</c:v>
                </c:pt>
                <c:pt idx="62">
                  <c:v>0.13153698979591799</c:v>
                </c:pt>
                <c:pt idx="63">
                  <c:v>0.21237086439126501</c:v>
                </c:pt>
                <c:pt idx="64">
                  <c:v>0.22957626083770899</c:v>
                </c:pt>
                <c:pt idx="65">
                  <c:v>0.19388133708648506</c:v>
                </c:pt>
                <c:pt idx="66">
                  <c:v>0.26446574369897002</c:v>
                </c:pt>
                <c:pt idx="67">
                  <c:v>0.245843927244279</c:v>
                </c:pt>
                <c:pt idx="68">
                  <c:v>0.23028485757121606</c:v>
                </c:pt>
                <c:pt idx="69">
                  <c:v>0.23509672325305794</c:v>
                </c:pt>
                <c:pt idx="70">
                  <c:v>0.262815608263198</c:v>
                </c:pt>
                <c:pt idx="71">
                  <c:v>0.26921595068387599</c:v>
                </c:pt>
                <c:pt idx="72">
                  <c:v>0.19644849386398511</c:v>
                </c:pt>
                <c:pt idx="73">
                  <c:v>0.18099547511315706</c:v>
                </c:pt>
                <c:pt idx="74">
                  <c:v>0.14901510467275406</c:v>
                </c:pt>
                <c:pt idx="75">
                  <c:v>0.16125150421179293</c:v>
                </c:pt>
                <c:pt idx="76">
                  <c:v>0.15051835684787315</c:v>
                </c:pt>
                <c:pt idx="77">
                  <c:v>0.16830816371197199</c:v>
                </c:pt>
                <c:pt idx="78">
                  <c:v>0.224100257069409</c:v>
                </c:pt>
                <c:pt idx="79">
                  <c:v>0.21532707102477994</c:v>
                </c:pt>
                <c:pt idx="80">
                  <c:v>0.22335650446870994</c:v>
                </c:pt>
                <c:pt idx="81">
                  <c:v>0.21753487988112011</c:v>
                </c:pt>
                <c:pt idx="82">
                  <c:v>0.18465836931673901</c:v>
                </c:pt>
                <c:pt idx="83">
                  <c:v>0.17584514721919806</c:v>
                </c:pt>
                <c:pt idx="84">
                  <c:v>0.16975725967420005</c:v>
                </c:pt>
                <c:pt idx="85">
                  <c:v>0.15810986560971094</c:v>
                </c:pt>
                <c:pt idx="86">
                  <c:v>0.163634013121748</c:v>
                </c:pt>
                <c:pt idx="87">
                  <c:v>0.22650495488833106</c:v>
                </c:pt>
                <c:pt idx="88">
                  <c:v>0.23598196675120706</c:v>
                </c:pt>
              </c:numCache>
            </c:numRef>
          </c:val>
        </c:ser>
        <c:marker val="1"/>
        <c:axId val="69637632"/>
        <c:axId val="69639168"/>
      </c:lineChart>
      <c:catAx>
        <c:axId val="69637632"/>
        <c:scaling>
          <c:orientation val="minMax"/>
        </c:scaling>
        <c:axPos val="b"/>
        <c:numFmt formatCode="General" sourceLinked="1"/>
        <c:tickLblPos val="nextTo"/>
        <c:txPr>
          <a:bodyPr/>
          <a:lstStyle/>
          <a:p>
            <a:pPr>
              <a:defRPr lang="en-IN"/>
            </a:pPr>
            <a:endParaRPr lang="en-US"/>
          </a:p>
        </c:txPr>
        <c:crossAx val="69639168"/>
        <c:crosses val="autoZero"/>
        <c:auto val="1"/>
        <c:lblAlgn val="ctr"/>
        <c:lblOffset val="100"/>
      </c:catAx>
      <c:valAx>
        <c:axId val="69639168"/>
        <c:scaling>
          <c:orientation val="minMax"/>
        </c:scaling>
        <c:axPos val="l"/>
        <c:majorGridlines/>
        <c:numFmt formatCode="#,##0.000" sourceLinked="0"/>
        <c:tickLblPos val="nextTo"/>
        <c:txPr>
          <a:bodyPr/>
          <a:lstStyle/>
          <a:p>
            <a:pPr>
              <a:defRPr lang="en-IN">
                <a:latin typeface="Times New Roman" pitchFamily="18" charset="0"/>
                <a:cs typeface="Times New Roman" pitchFamily="18" charset="0"/>
              </a:defRPr>
            </a:pPr>
            <a:endParaRPr lang="en-US"/>
          </a:p>
        </c:txPr>
        <c:crossAx val="69637632"/>
        <c:crosses val="autoZero"/>
        <c:crossBetween val="between"/>
      </c:valAx>
    </c:plotArea>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'Union Carbide'!$B$52</c:f>
              <c:strCache>
                <c:ptCount val="1"/>
                <c:pt idx="0">
                  <c:v>TotDebttoTA </c:v>
                </c:pt>
              </c:strCache>
            </c:strRef>
          </c:tx>
          <c:spPr>
            <a:ln>
              <a:solidFill>
                <a:schemeClr val="tx1"/>
              </a:solidFill>
            </a:ln>
          </c:spPr>
          <c:marker>
            <c:symbol val="none"/>
          </c:marker>
          <c:cat>
            <c:numRef>
              <c:f>'Union Carbide'!$C$51:$CH$51</c:f>
              <c:numCache>
                <c:formatCode>General</c:formatCode>
                <c:ptCount val="84"/>
                <c:pt idx="0">
                  <c:v>1925</c:v>
                </c:pt>
                <c:pt idx="1">
                  <c:v>1926</c:v>
                </c:pt>
                <c:pt idx="2">
                  <c:v>1927</c:v>
                </c:pt>
                <c:pt idx="3">
                  <c:v>1928</c:v>
                </c:pt>
                <c:pt idx="4">
                  <c:v>1929</c:v>
                </c:pt>
                <c:pt idx="5">
                  <c:v>1930</c:v>
                </c:pt>
                <c:pt idx="6">
                  <c:v>1931</c:v>
                </c:pt>
                <c:pt idx="7">
                  <c:v>1932</c:v>
                </c:pt>
                <c:pt idx="8">
                  <c:v>1933</c:v>
                </c:pt>
                <c:pt idx="9">
                  <c:v>1934</c:v>
                </c:pt>
                <c:pt idx="10">
                  <c:v>1935</c:v>
                </c:pt>
                <c:pt idx="11">
                  <c:v>1936</c:v>
                </c:pt>
                <c:pt idx="12">
                  <c:v>1937</c:v>
                </c:pt>
                <c:pt idx="13">
                  <c:v>1938</c:v>
                </c:pt>
                <c:pt idx="14">
                  <c:v>1939</c:v>
                </c:pt>
                <c:pt idx="15">
                  <c:v>1940</c:v>
                </c:pt>
                <c:pt idx="16">
                  <c:v>1941</c:v>
                </c:pt>
                <c:pt idx="17">
                  <c:v>1942</c:v>
                </c:pt>
                <c:pt idx="18">
                  <c:v>1943</c:v>
                </c:pt>
                <c:pt idx="19">
                  <c:v>1944</c:v>
                </c:pt>
                <c:pt idx="20">
                  <c:v>1945</c:v>
                </c:pt>
                <c:pt idx="21">
                  <c:v>1946</c:v>
                </c:pt>
                <c:pt idx="22">
                  <c:v>1947</c:v>
                </c:pt>
                <c:pt idx="23">
                  <c:v>1948</c:v>
                </c:pt>
                <c:pt idx="24">
                  <c:v>1949</c:v>
                </c:pt>
                <c:pt idx="25">
                  <c:v>1950</c:v>
                </c:pt>
                <c:pt idx="26">
                  <c:v>1951</c:v>
                </c:pt>
                <c:pt idx="27">
                  <c:v>1952</c:v>
                </c:pt>
                <c:pt idx="28">
                  <c:v>1953</c:v>
                </c:pt>
                <c:pt idx="29">
                  <c:v>1954</c:v>
                </c:pt>
                <c:pt idx="30">
                  <c:v>1955</c:v>
                </c:pt>
                <c:pt idx="31">
                  <c:v>1956</c:v>
                </c:pt>
                <c:pt idx="32">
                  <c:v>1957</c:v>
                </c:pt>
                <c:pt idx="33">
                  <c:v>1958</c:v>
                </c:pt>
                <c:pt idx="34">
                  <c:v>1959</c:v>
                </c:pt>
                <c:pt idx="35">
                  <c:v>1960</c:v>
                </c:pt>
                <c:pt idx="36">
                  <c:v>1961</c:v>
                </c:pt>
                <c:pt idx="37">
                  <c:v>1962</c:v>
                </c:pt>
                <c:pt idx="38">
                  <c:v>1963</c:v>
                </c:pt>
                <c:pt idx="39">
                  <c:v>1964</c:v>
                </c:pt>
                <c:pt idx="40">
                  <c:v>1965</c:v>
                </c:pt>
                <c:pt idx="41">
                  <c:v>1966</c:v>
                </c:pt>
                <c:pt idx="42">
                  <c:v>1967</c:v>
                </c:pt>
                <c:pt idx="43">
                  <c:v>1968</c:v>
                </c:pt>
                <c:pt idx="44">
                  <c:v>1969</c:v>
                </c:pt>
                <c:pt idx="45">
                  <c:v>1970</c:v>
                </c:pt>
                <c:pt idx="46">
                  <c:v>1971</c:v>
                </c:pt>
                <c:pt idx="47">
                  <c:v>1972</c:v>
                </c:pt>
                <c:pt idx="48">
                  <c:v>1973</c:v>
                </c:pt>
                <c:pt idx="49">
                  <c:v>1974</c:v>
                </c:pt>
                <c:pt idx="50">
                  <c:v>1975</c:v>
                </c:pt>
                <c:pt idx="51">
                  <c:v>1976</c:v>
                </c:pt>
                <c:pt idx="52">
                  <c:v>1977</c:v>
                </c:pt>
                <c:pt idx="53">
                  <c:v>1978</c:v>
                </c:pt>
                <c:pt idx="54">
                  <c:v>1979</c:v>
                </c:pt>
                <c:pt idx="55">
                  <c:v>1980</c:v>
                </c:pt>
                <c:pt idx="56">
                  <c:v>1981</c:v>
                </c:pt>
                <c:pt idx="57">
                  <c:v>1982</c:v>
                </c:pt>
                <c:pt idx="58">
                  <c:v>1983</c:v>
                </c:pt>
                <c:pt idx="59">
                  <c:v>1984</c:v>
                </c:pt>
                <c:pt idx="60">
                  <c:v>1985</c:v>
                </c:pt>
                <c:pt idx="61">
                  <c:v>1986</c:v>
                </c:pt>
                <c:pt idx="62">
                  <c:v>1987</c:v>
                </c:pt>
                <c:pt idx="63">
                  <c:v>1988</c:v>
                </c:pt>
                <c:pt idx="64">
                  <c:v>1989</c:v>
                </c:pt>
                <c:pt idx="65">
                  <c:v>1990</c:v>
                </c:pt>
                <c:pt idx="66">
                  <c:v>1991</c:v>
                </c:pt>
                <c:pt idx="67">
                  <c:v>1992</c:v>
                </c:pt>
                <c:pt idx="68">
                  <c:v>1993</c:v>
                </c:pt>
                <c:pt idx="69">
                  <c:v>1994</c:v>
                </c:pt>
                <c:pt idx="70">
                  <c:v>1995</c:v>
                </c:pt>
                <c:pt idx="71">
                  <c:v>1996</c:v>
                </c:pt>
                <c:pt idx="72">
                  <c:v>1997</c:v>
                </c:pt>
                <c:pt idx="73">
                  <c:v>1998</c:v>
                </c:pt>
                <c:pt idx="74">
                  <c:v>1999</c:v>
                </c:pt>
                <c:pt idx="75">
                  <c:v>2000</c:v>
                </c:pt>
                <c:pt idx="76">
                  <c:v>2001</c:v>
                </c:pt>
                <c:pt idx="77">
                  <c:v>2002</c:v>
                </c:pt>
                <c:pt idx="78">
                  <c:v>2003</c:v>
                </c:pt>
                <c:pt idx="79">
                  <c:v>2004</c:v>
                </c:pt>
                <c:pt idx="80">
                  <c:v>2005</c:v>
                </c:pt>
                <c:pt idx="81">
                  <c:v>2006</c:v>
                </c:pt>
                <c:pt idx="82">
                  <c:v>2007</c:v>
                </c:pt>
                <c:pt idx="83">
                  <c:v>2008</c:v>
                </c:pt>
              </c:numCache>
            </c:numRef>
          </c:cat>
          <c:val>
            <c:numRef>
              <c:f>'Union Carbide'!$C$52:$CH$52</c:f>
              <c:numCache>
                <c:formatCode>_-* #,##0.00_-;\-* #,##0.00_-;_-* "-"??_-;_-@_-</c:formatCode>
                <c:ptCount val="84"/>
                <c:pt idx="0" formatCode="General">
                  <c:v>7.1970082257312107E-2</c:v>
                </c:pt>
                <c:pt idx="1">
                  <c:v>6.6975696566986306E-2</c:v>
                </c:pt>
                <c:pt idx="2" formatCode="General">
                  <c:v>6.331004680286742E-2</c:v>
                </c:pt>
                <c:pt idx="3" formatCode="General">
                  <c:v>5.5789207699098717E-2</c:v>
                </c:pt>
                <c:pt idx="4" formatCode="General">
                  <c:v>4.1817196437942017E-2</c:v>
                </c:pt>
                <c:pt idx="5" formatCode="General">
                  <c:v>3.1622835788534115E-2</c:v>
                </c:pt>
                <c:pt idx="6" formatCode="General">
                  <c:v>3.7380515413582414E-2</c:v>
                </c:pt>
                <c:pt idx="7" formatCode="General">
                  <c:v>4.0259620907805903E-2</c:v>
                </c:pt>
                <c:pt idx="8" formatCode="General">
                  <c:v>3.7806460397042302E-2</c:v>
                </c:pt>
                <c:pt idx="9" formatCode="General">
                  <c:v>3.5640455007950204E-2</c:v>
                </c:pt>
                <c:pt idx="10" formatCode="General">
                  <c:v>7.8828123422345103E-2</c:v>
                </c:pt>
                <c:pt idx="11" formatCode="General">
                  <c:v>7.2679193673681294E-2</c:v>
                </c:pt>
                <c:pt idx="12" formatCode="General">
                  <c:v>6.8349800025896801E-2</c:v>
                </c:pt>
                <c:pt idx="13" formatCode="General">
                  <c:v>0.12935210250609505</c:v>
                </c:pt>
                <c:pt idx="14" formatCode="General">
                  <c:v>0.11874914286146003</c:v>
                </c:pt>
                <c:pt idx="15" formatCode="General">
                  <c:v>8.226626463480978E-2</c:v>
                </c:pt>
                <c:pt idx="16" formatCode="General">
                  <c:v>7.0896502183611834E-2</c:v>
                </c:pt>
                <c:pt idx="17" formatCode="General">
                  <c:v>6.1880951454168512E-2</c:v>
                </c:pt>
                <c:pt idx="18" formatCode="General">
                  <c:v>5.3541450699190384E-2</c:v>
                </c:pt>
                <c:pt idx="19" formatCode="General">
                  <c:v>4.738361615765492E-2</c:v>
                </c:pt>
                <c:pt idx="20" formatCode="General">
                  <c:v>0</c:v>
                </c:pt>
                <c:pt idx="21" formatCode="General">
                  <c:v>0</c:v>
                </c:pt>
                <c:pt idx="22" formatCode="General">
                  <c:v>0.231085859280867</c:v>
                </c:pt>
                <c:pt idx="23" formatCode="General">
                  <c:v>0.20755714628705399</c:v>
                </c:pt>
                <c:pt idx="24" formatCode="General">
                  <c:v>0.201527940779547</c:v>
                </c:pt>
                <c:pt idx="25" formatCode="General">
                  <c:v>0.17257248044178605</c:v>
                </c:pt>
                <c:pt idx="26" formatCode="General">
                  <c:v>0.15335855229526599</c:v>
                </c:pt>
                <c:pt idx="27" formatCode="General">
                  <c:v>0.23316545420630505</c:v>
                </c:pt>
                <c:pt idx="28" formatCode="General">
                  <c:v>0.28557030068872802</c:v>
                </c:pt>
                <c:pt idx="29" formatCode="General">
                  <c:v>0.34356024288910197</c:v>
                </c:pt>
                <c:pt idx="30" formatCode="General">
                  <c:v>0.30612244897974122</c:v>
                </c:pt>
                <c:pt idx="31" formatCode="General">
                  <c:v>0.288141398917586</c:v>
                </c:pt>
                <c:pt idx="32" formatCode="General">
                  <c:v>0.28185937929152011</c:v>
                </c:pt>
                <c:pt idx="33" formatCode="General">
                  <c:v>0.30454099967331211</c:v>
                </c:pt>
                <c:pt idx="34" formatCode="General">
                  <c:v>0.28138209887902021</c:v>
                </c:pt>
                <c:pt idx="35" formatCode="General">
                  <c:v>0.2905598692278033</c:v>
                </c:pt>
                <c:pt idx="36" formatCode="General">
                  <c:v>0.27924811163005198</c:v>
                </c:pt>
                <c:pt idx="37" formatCode="General">
                  <c:v>0.262823017246191</c:v>
                </c:pt>
                <c:pt idx="38" formatCode="General">
                  <c:v>0.24969981443073899</c:v>
                </c:pt>
                <c:pt idx="39" formatCode="General">
                  <c:v>0.25029211295034093</c:v>
                </c:pt>
                <c:pt idx="40" formatCode="General">
                  <c:v>0.26082004555808702</c:v>
                </c:pt>
                <c:pt idx="41" formatCode="General">
                  <c:v>0.23924906728956299</c:v>
                </c:pt>
                <c:pt idx="42" formatCode="General">
                  <c:v>0.31713240294012901</c:v>
                </c:pt>
                <c:pt idx="43" formatCode="General">
                  <c:v>0.31091441750309312</c:v>
                </c:pt>
                <c:pt idx="44" formatCode="General">
                  <c:v>0.30404602264719</c:v>
                </c:pt>
                <c:pt idx="45" formatCode="General">
                  <c:v>0.32875993147756111</c:v>
                </c:pt>
                <c:pt idx="46" formatCode="General">
                  <c:v>0.29650954744578101</c:v>
                </c:pt>
                <c:pt idx="47" formatCode="General">
                  <c:v>0.27620148992819299</c:v>
                </c:pt>
                <c:pt idx="48" formatCode="General">
                  <c:v>0.26191632803977111</c:v>
                </c:pt>
                <c:pt idx="49" formatCode="General">
                  <c:v>0.22636615857674006</c:v>
                </c:pt>
                <c:pt idx="50" formatCode="General">
                  <c:v>0.25985938886186111</c:v>
                </c:pt>
                <c:pt idx="51" formatCode="General">
                  <c:v>0.27890582171351602</c:v>
                </c:pt>
                <c:pt idx="52" formatCode="General">
                  <c:v>0.26077733955650789</c:v>
                </c:pt>
                <c:pt idx="53" formatCode="General">
                  <c:v>0.23827288200858596</c:v>
                </c:pt>
                <c:pt idx="54" formatCode="General">
                  <c:v>0.225001743804156</c:v>
                </c:pt>
                <c:pt idx="55" formatCode="General">
                  <c:v>0.22528212030230901</c:v>
                </c:pt>
                <c:pt idx="56" formatCode="General">
                  <c:v>0.23275448527295806</c:v>
                </c:pt>
                <c:pt idx="57" formatCode="General">
                  <c:v>0.26516588168801802</c:v>
                </c:pt>
                <c:pt idx="58" formatCode="General">
                  <c:v>0.26401165614375899</c:v>
                </c:pt>
                <c:pt idx="59" formatCode="General">
                  <c:v>0.25508651834953511</c:v>
                </c:pt>
                <c:pt idx="60" formatCode="General">
                  <c:v>0.26623192514885202</c:v>
                </c:pt>
                <c:pt idx="61" formatCode="General">
                  <c:v>0.46440364548936702</c:v>
                </c:pt>
                <c:pt idx="62" formatCode="General">
                  <c:v>0.40293968575772898</c:v>
                </c:pt>
                <c:pt idx="63" formatCode="General">
                  <c:v>0.32662006871239113</c:v>
                </c:pt>
                <c:pt idx="64" formatCode="General">
                  <c:v>0.32003276386613611</c:v>
                </c:pt>
                <c:pt idx="65" formatCode="General">
                  <c:v>0.3705484942173371</c:v>
                </c:pt>
                <c:pt idx="66" formatCode="General">
                  <c:v>0.35774978025197801</c:v>
                </c:pt>
                <c:pt idx="67" formatCode="General">
                  <c:v>0.29771301356000801</c:v>
                </c:pt>
                <c:pt idx="68" formatCode="General">
                  <c:v>0.20601407549584105</c:v>
                </c:pt>
                <c:pt idx="69" formatCode="General">
                  <c:v>0.18814638027051606</c:v>
                </c:pt>
                <c:pt idx="70" formatCode="General">
                  <c:v>0.21147698209727711</c:v>
                </c:pt>
                <c:pt idx="71" formatCode="General">
                  <c:v>0.24427131072410599</c:v>
                </c:pt>
                <c:pt idx="72" formatCode="General">
                  <c:v>0.27096496266513498</c:v>
                </c:pt>
                <c:pt idx="73" formatCode="General">
                  <c:v>0.30475929227815102</c:v>
                </c:pt>
                <c:pt idx="74" formatCode="General">
                  <c:v>0.33316576599243536</c:v>
                </c:pt>
                <c:pt idx="75" formatCode="General">
                  <c:v>0.35058710759646711</c:v>
                </c:pt>
                <c:pt idx="76" formatCode="General">
                  <c:v>0.27250885179570811</c:v>
                </c:pt>
                <c:pt idx="77" formatCode="General">
                  <c:v>0.26760183436741308</c:v>
                </c:pt>
                <c:pt idx="78" formatCode="General">
                  <c:v>0.20187576875768695</c:v>
                </c:pt>
                <c:pt idx="79" formatCode="General">
                  <c:v>0.19301595962351595</c:v>
                </c:pt>
                <c:pt idx="80" formatCode="General">
                  <c:v>0.10486513738341803</c:v>
                </c:pt>
                <c:pt idx="81" formatCode="General">
                  <c:v>0.10122100122104404</c:v>
                </c:pt>
                <c:pt idx="82" formatCode="General">
                  <c:v>8.7163232963549997E-2</c:v>
                </c:pt>
                <c:pt idx="83" formatCode="General">
                  <c:v>9.0651558073659183E-2</c:v>
                </c:pt>
              </c:numCache>
            </c:numRef>
          </c:val>
        </c:ser>
        <c:marker val="1"/>
        <c:axId val="3152896"/>
        <c:axId val="3158784"/>
      </c:lineChart>
      <c:catAx>
        <c:axId val="3152896"/>
        <c:scaling>
          <c:orientation val="minMax"/>
        </c:scaling>
        <c:axPos val="b"/>
        <c:numFmt formatCode="General" sourceLinked="1"/>
        <c:tickLblPos val="nextTo"/>
        <c:txPr>
          <a:bodyPr/>
          <a:lstStyle/>
          <a:p>
            <a:pPr>
              <a:defRPr lang="en-IN" baseline="0">
                <a:latin typeface="Times New Roman" pitchFamily="18" charset="0"/>
              </a:defRPr>
            </a:pPr>
            <a:endParaRPr lang="en-US"/>
          </a:p>
        </c:txPr>
        <c:crossAx val="3158784"/>
        <c:crosses val="autoZero"/>
        <c:auto val="1"/>
        <c:lblAlgn val="ctr"/>
        <c:lblOffset val="100"/>
      </c:catAx>
      <c:valAx>
        <c:axId val="3158784"/>
        <c:scaling>
          <c:orientation val="minMax"/>
        </c:scaling>
        <c:axPos val="l"/>
        <c:majorGridlines/>
        <c:numFmt formatCode="#,##0.000" sourceLinked="0"/>
        <c:tickLblPos val="nextTo"/>
        <c:txPr>
          <a:bodyPr/>
          <a:lstStyle/>
          <a:p>
            <a:pPr>
              <a:defRPr lang="en-IN" baseline="0">
                <a:latin typeface="Times New Roman" pitchFamily="18" charset="0"/>
              </a:defRPr>
            </a:pPr>
            <a:endParaRPr lang="en-US"/>
          </a:p>
        </c:txPr>
        <c:crossAx val="3152896"/>
        <c:crosses val="autoZero"/>
        <c:crossBetween val="between"/>
        <c:majorUnit val="0.05"/>
      </c:valAx>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0.39557</cdr:x>
      <cdr:y>0.05005</cdr:y>
    </cdr:from>
    <cdr:to>
      <cdr:x>0.62474</cdr:x>
      <cdr:y>0.13338</cdr:y>
    </cdr:to>
    <cdr:sp macro="" textlink="">
      <cdr:nvSpPr>
        <cdr:cNvPr id="2" name="TextBox 1"/>
        <cdr:cNvSpPr txBox="1"/>
      </cdr:nvSpPr>
      <cdr:spPr>
        <a:xfrm xmlns:a="http://schemas.openxmlformats.org/drawingml/2006/main">
          <a:off x="2234308" y="114895"/>
          <a:ext cx="1294427" cy="1912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General Electric</a:t>
          </a:r>
        </a:p>
      </cdr:txBody>
    </cdr:sp>
  </cdr:relSizeAnchor>
  <cdr:relSizeAnchor xmlns:cdr="http://schemas.openxmlformats.org/drawingml/2006/chartDrawing">
    <cdr:from>
      <cdr:x>0.66486</cdr:x>
      <cdr:y>0.46816</cdr:y>
    </cdr:from>
    <cdr:to>
      <cdr:x>0.98153</cdr:x>
      <cdr:y>0.57927</cdr:y>
    </cdr:to>
    <cdr:sp macro="" textlink="">
      <cdr:nvSpPr>
        <cdr:cNvPr id="3" name="TextBox 2"/>
        <cdr:cNvSpPr txBox="1"/>
      </cdr:nvSpPr>
      <cdr:spPr>
        <a:xfrm xmlns:a="http://schemas.openxmlformats.org/drawingml/2006/main">
          <a:off x="3755349" y="1074682"/>
          <a:ext cx="1788656" cy="2550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drawings/drawing10.xml><?xml version="1.0" encoding="utf-8"?>
<c:userShapes xmlns:c="http://schemas.openxmlformats.org/drawingml/2006/chart">
  <cdr:relSizeAnchor xmlns:cdr="http://schemas.openxmlformats.org/drawingml/2006/chartDrawing">
    <cdr:from>
      <cdr:x>0.42105</cdr:x>
      <cdr:y>0.04861</cdr:y>
    </cdr:from>
    <cdr:to>
      <cdr:x>0.62105</cdr:x>
      <cdr:y>0.18056</cdr:y>
    </cdr:to>
    <cdr:sp macro="" textlink="">
      <cdr:nvSpPr>
        <cdr:cNvPr id="2" name="TextBox 1"/>
        <cdr:cNvSpPr txBox="1"/>
      </cdr:nvSpPr>
      <cdr:spPr>
        <a:xfrm xmlns:a="http://schemas.openxmlformats.org/drawingml/2006/main">
          <a:off x="2326066" y="113901"/>
          <a:ext cx="1104900" cy="3091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B.F. Goodrich</a:t>
          </a:r>
        </a:p>
      </cdr:txBody>
    </cdr:sp>
  </cdr:relSizeAnchor>
  <cdr:relSizeAnchor xmlns:cdr="http://schemas.openxmlformats.org/drawingml/2006/chartDrawing">
    <cdr:from>
      <cdr:x>0.583</cdr:x>
      <cdr:y>0.53225</cdr:y>
    </cdr:from>
    <cdr:to>
      <cdr:x>0.83092</cdr:x>
      <cdr:y>0.6503</cdr:y>
    </cdr:to>
    <cdr:sp macro="" textlink="">
      <cdr:nvSpPr>
        <cdr:cNvPr id="3" name="TextBox 2"/>
        <cdr:cNvSpPr txBox="1"/>
      </cdr:nvSpPr>
      <cdr:spPr>
        <a:xfrm xmlns:a="http://schemas.openxmlformats.org/drawingml/2006/main">
          <a:off x="3220782" y="1247153"/>
          <a:ext cx="1369634" cy="2766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a:t>
          </a:r>
          <a:r>
            <a:rPr lang="en-US" sz="1000" i="1" baseline="0">
              <a:latin typeface="Times New Roman" pitchFamily="18" charset="0"/>
              <a:cs typeface="Times New Roman" pitchFamily="18" charset="0"/>
            </a:rPr>
            <a:t> Assets</a:t>
          </a:r>
          <a:endParaRPr lang="en-US" sz="1000" i="1">
            <a:latin typeface="Times New Roman" pitchFamily="18" charset="0"/>
            <a:cs typeface="Times New Roman"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0.45906</cdr:x>
      <cdr:y>0.53285</cdr:y>
    </cdr:from>
    <cdr:to>
      <cdr:x>0.69031</cdr:x>
      <cdr:y>0.63355</cdr:y>
    </cdr:to>
    <cdr:sp macro="" textlink="">
      <cdr:nvSpPr>
        <cdr:cNvPr id="2" name="TextBox 1"/>
        <cdr:cNvSpPr txBox="1"/>
      </cdr:nvSpPr>
      <cdr:spPr>
        <a:xfrm xmlns:a="http://schemas.openxmlformats.org/drawingml/2006/main">
          <a:off x="2544842" y="1248558"/>
          <a:ext cx="1281946" cy="2359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drawings/drawing12.xml><?xml version="1.0" encoding="utf-8"?>
<c:userShapes xmlns:c="http://schemas.openxmlformats.org/drawingml/2006/chart">
  <cdr:relSizeAnchor xmlns:cdr="http://schemas.openxmlformats.org/drawingml/2006/chartDrawing">
    <cdr:from>
      <cdr:x>0.34247</cdr:x>
      <cdr:y>0.54909</cdr:y>
    </cdr:from>
    <cdr:to>
      <cdr:x>0.68408</cdr:x>
      <cdr:y>0.64321</cdr:y>
    </cdr:to>
    <cdr:sp macro="" textlink="">
      <cdr:nvSpPr>
        <cdr:cNvPr id="2" name="TextBox 1"/>
        <cdr:cNvSpPr txBox="1"/>
      </cdr:nvSpPr>
      <cdr:spPr>
        <a:xfrm xmlns:a="http://schemas.openxmlformats.org/drawingml/2006/main">
          <a:off x="2175796" y="1276144"/>
          <a:ext cx="2170308" cy="2187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drawings/drawing13.xml><?xml version="1.0" encoding="utf-8"?>
<c:userShapes xmlns:c="http://schemas.openxmlformats.org/drawingml/2006/chart">
  <cdr:relSizeAnchor xmlns:cdr="http://schemas.openxmlformats.org/drawingml/2006/chartDrawing">
    <cdr:from>
      <cdr:x>0.30597</cdr:x>
      <cdr:y>0.05556</cdr:y>
    </cdr:from>
    <cdr:to>
      <cdr:x>0.76847</cdr:x>
      <cdr:y>0.15278</cdr:y>
    </cdr:to>
    <cdr:sp macro="" textlink="">
      <cdr:nvSpPr>
        <cdr:cNvPr id="2" name="TextBox 1"/>
        <cdr:cNvSpPr txBox="1"/>
      </cdr:nvSpPr>
      <cdr:spPr>
        <a:xfrm xmlns:a="http://schemas.openxmlformats.org/drawingml/2006/main">
          <a:off x="1725276" y="134419"/>
          <a:ext cx="2607945" cy="2352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American Tobacco (Fortune Brands)</a:t>
          </a:r>
        </a:p>
      </cdr:txBody>
    </cdr:sp>
  </cdr:relSizeAnchor>
  <cdr:relSizeAnchor xmlns:cdr="http://schemas.openxmlformats.org/drawingml/2006/chartDrawing">
    <cdr:from>
      <cdr:x>0.52374</cdr:x>
      <cdr:y>0.57221</cdr:y>
    </cdr:from>
    <cdr:to>
      <cdr:x>0.74185</cdr:x>
      <cdr:y>0.67638</cdr:y>
    </cdr:to>
    <cdr:sp macro="" textlink="">
      <cdr:nvSpPr>
        <cdr:cNvPr id="3" name="TextBox 2"/>
        <cdr:cNvSpPr txBox="1"/>
      </cdr:nvSpPr>
      <cdr:spPr>
        <a:xfrm xmlns:a="http://schemas.openxmlformats.org/drawingml/2006/main">
          <a:off x="2953283" y="1384369"/>
          <a:ext cx="1229879" cy="252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drawings/drawing14.xml><?xml version="1.0" encoding="utf-8"?>
<c:userShapes xmlns:c="http://schemas.openxmlformats.org/drawingml/2006/chart">
  <cdr:relSizeAnchor xmlns:cdr="http://schemas.openxmlformats.org/drawingml/2006/chartDrawing">
    <cdr:from>
      <cdr:x>0.59549</cdr:x>
      <cdr:y>0.42315</cdr:y>
    </cdr:from>
    <cdr:to>
      <cdr:x>0.79086</cdr:x>
      <cdr:y>0.54851</cdr:y>
    </cdr:to>
    <cdr:sp macro="" textlink="">
      <cdr:nvSpPr>
        <cdr:cNvPr id="2" name="TextBox 1"/>
        <cdr:cNvSpPr txBox="1"/>
      </cdr:nvSpPr>
      <cdr:spPr>
        <a:xfrm xmlns:a="http://schemas.openxmlformats.org/drawingml/2006/main">
          <a:off x="3227392" y="1136602"/>
          <a:ext cx="1058852" cy="3367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dr:relSizeAnchor xmlns:cdr="http://schemas.openxmlformats.org/drawingml/2006/chartDrawing">
    <cdr:from>
      <cdr:x>0.40598</cdr:x>
      <cdr:y>0.04795</cdr:y>
    </cdr:from>
    <cdr:to>
      <cdr:x>0.59754</cdr:x>
      <cdr:y>0.14124</cdr:y>
    </cdr:to>
    <cdr:sp macro="" textlink="">
      <cdr:nvSpPr>
        <cdr:cNvPr id="3" name="TextBox 2"/>
        <cdr:cNvSpPr txBox="1"/>
      </cdr:nvSpPr>
      <cdr:spPr>
        <a:xfrm xmlns:a="http://schemas.openxmlformats.org/drawingml/2006/main">
          <a:off x="2200300" y="128796"/>
          <a:ext cx="1038202" cy="2505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Eastman Kodak</a:t>
          </a:r>
        </a:p>
      </cdr:txBody>
    </cdr:sp>
  </cdr:relSizeAnchor>
</c:userShapes>
</file>

<file path=word/drawings/drawing15.xml><?xml version="1.0" encoding="utf-8"?>
<c:userShapes xmlns:c="http://schemas.openxmlformats.org/drawingml/2006/chart">
  <cdr:relSizeAnchor xmlns:cdr="http://schemas.openxmlformats.org/drawingml/2006/chartDrawing">
    <cdr:from>
      <cdr:x>0.4118</cdr:x>
      <cdr:y>0.36523</cdr:y>
    </cdr:from>
    <cdr:to>
      <cdr:x>0.6162</cdr:x>
      <cdr:y>0.4555</cdr:y>
    </cdr:to>
    <cdr:sp macro="" textlink="">
      <cdr:nvSpPr>
        <cdr:cNvPr id="2" name="TextBox 1"/>
        <cdr:cNvSpPr txBox="1"/>
      </cdr:nvSpPr>
      <cdr:spPr>
        <a:xfrm xmlns:a="http://schemas.openxmlformats.org/drawingml/2006/main">
          <a:off x="2322058" y="897534"/>
          <a:ext cx="1152571" cy="2218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baseline="0">
              <a:latin typeface="Times New Roman" pitchFamily="18" charset="0"/>
              <a:cs typeface="Times New Roman" pitchFamily="18" charset="0"/>
            </a:rPr>
            <a:t>Debt/Total Assets</a:t>
          </a:r>
          <a:endParaRPr lang="en-US" sz="1000" i="1">
            <a:latin typeface="Times New Roman" pitchFamily="18" charset="0"/>
            <a:cs typeface="Times New Roman" pitchFamily="18" charset="0"/>
          </a:endParaRPr>
        </a:p>
      </cdr:txBody>
    </cdr:sp>
  </cdr:relSizeAnchor>
  <cdr:relSizeAnchor xmlns:cdr="http://schemas.openxmlformats.org/drawingml/2006/chartDrawing">
    <cdr:from>
      <cdr:x>0.45951</cdr:x>
      <cdr:y>0.05415</cdr:y>
    </cdr:from>
    <cdr:to>
      <cdr:x>0.57218</cdr:x>
      <cdr:y>0.15884</cdr:y>
    </cdr:to>
    <cdr:sp macro="" textlink="">
      <cdr:nvSpPr>
        <cdr:cNvPr id="3" name="TextBox 2"/>
        <cdr:cNvSpPr txBox="1"/>
      </cdr:nvSpPr>
      <cdr:spPr>
        <a:xfrm xmlns:a="http://schemas.openxmlformats.org/drawingml/2006/main">
          <a:off x="2486025" y="142875"/>
          <a:ext cx="60960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DuPont</a:t>
          </a:r>
        </a:p>
      </cdr:txBody>
    </cdr:sp>
  </cdr:relSizeAnchor>
</c:userShapes>
</file>

<file path=word/drawings/drawing16.xml><?xml version="1.0" encoding="utf-8"?>
<c:userShapes xmlns:c="http://schemas.openxmlformats.org/drawingml/2006/chart">
  <cdr:relSizeAnchor xmlns:cdr="http://schemas.openxmlformats.org/drawingml/2006/chartDrawing">
    <cdr:from>
      <cdr:x>0.27841</cdr:x>
      <cdr:y>0.04859</cdr:y>
    </cdr:from>
    <cdr:to>
      <cdr:x>0.81175</cdr:x>
      <cdr:y>0.12845</cdr:y>
    </cdr:to>
    <cdr:sp macro="" textlink="">
      <cdr:nvSpPr>
        <cdr:cNvPr id="2" name="TextBox 1"/>
        <cdr:cNvSpPr txBox="1"/>
      </cdr:nvSpPr>
      <cdr:spPr>
        <a:xfrm xmlns:a="http://schemas.openxmlformats.org/drawingml/2006/main">
          <a:off x="1495639" y="132376"/>
          <a:ext cx="2865156" cy="2175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Standard Oil of California (ChevronTexaco) </a:t>
          </a:r>
        </a:p>
      </cdr:txBody>
    </cdr:sp>
  </cdr:relSizeAnchor>
  <cdr:relSizeAnchor xmlns:cdr="http://schemas.openxmlformats.org/drawingml/2006/chartDrawing">
    <cdr:from>
      <cdr:x>0.54534</cdr:x>
      <cdr:y>0.33814</cdr:y>
    </cdr:from>
    <cdr:to>
      <cdr:x>0.74291</cdr:x>
      <cdr:y>0.43884</cdr:y>
    </cdr:to>
    <cdr:sp macro="" textlink="">
      <cdr:nvSpPr>
        <cdr:cNvPr id="3" name="TextBox 2"/>
        <cdr:cNvSpPr txBox="1"/>
      </cdr:nvSpPr>
      <cdr:spPr>
        <a:xfrm xmlns:a="http://schemas.openxmlformats.org/drawingml/2006/main">
          <a:off x="2929634" y="921138"/>
          <a:ext cx="1061341" cy="2743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drawings/drawing17.xml><?xml version="1.0" encoding="utf-8"?>
<c:userShapes xmlns:c="http://schemas.openxmlformats.org/drawingml/2006/chart">
  <cdr:relSizeAnchor xmlns:cdr="http://schemas.openxmlformats.org/drawingml/2006/chartDrawing">
    <cdr:from>
      <cdr:x>0.59049</cdr:x>
      <cdr:y>0.12554</cdr:y>
    </cdr:from>
    <cdr:to>
      <cdr:x>0.82646</cdr:x>
      <cdr:y>0.24254</cdr:y>
    </cdr:to>
    <cdr:sp macro="" textlink="">
      <cdr:nvSpPr>
        <cdr:cNvPr id="2" name="TextBox 1"/>
        <cdr:cNvSpPr txBox="1"/>
      </cdr:nvSpPr>
      <cdr:spPr>
        <a:xfrm xmlns:a="http://schemas.openxmlformats.org/drawingml/2006/main">
          <a:off x="3273422" y="320475"/>
          <a:ext cx="1308103" cy="298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drawings/drawing18.xml><?xml version="1.0" encoding="utf-8"?>
<c:userShapes xmlns:c="http://schemas.openxmlformats.org/drawingml/2006/chart">
  <cdr:relSizeAnchor xmlns:cdr="http://schemas.openxmlformats.org/drawingml/2006/chartDrawing">
    <cdr:from>
      <cdr:x>0.53542</cdr:x>
      <cdr:y>0.55903</cdr:y>
    </cdr:from>
    <cdr:to>
      <cdr:x>0.76667</cdr:x>
      <cdr:y>0.67708</cdr:y>
    </cdr:to>
    <cdr:sp macro="" textlink="">
      <cdr:nvSpPr>
        <cdr:cNvPr id="2" name="TextBox 1"/>
        <cdr:cNvSpPr txBox="1"/>
      </cdr:nvSpPr>
      <cdr:spPr>
        <a:xfrm xmlns:a="http://schemas.openxmlformats.org/drawingml/2006/main">
          <a:off x="2963011" y="1453660"/>
          <a:ext cx="1279743" cy="3069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dr:relSizeAnchor xmlns:cdr="http://schemas.openxmlformats.org/drawingml/2006/chartDrawing">
    <cdr:from>
      <cdr:x>0.30293</cdr:x>
      <cdr:y>0.07692</cdr:y>
    </cdr:from>
    <cdr:to>
      <cdr:x>0.76936</cdr:x>
      <cdr:y>0.17949</cdr:y>
    </cdr:to>
    <cdr:sp macro="" textlink="">
      <cdr:nvSpPr>
        <cdr:cNvPr id="3" name="TextBox 2"/>
        <cdr:cNvSpPr txBox="1"/>
      </cdr:nvSpPr>
      <cdr:spPr>
        <a:xfrm xmlns:a="http://schemas.openxmlformats.org/drawingml/2006/main">
          <a:off x="1676399" y="200025"/>
          <a:ext cx="25812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Standard Oil of New Jersey (Exxon Mobil)</a:t>
          </a:r>
        </a:p>
      </cdr:txBody>
    </cdr:sp>
  </cdr:relSizeAnchor>
</c:userShapes>
</file>

<file path=word/drawings/drawing19.xml><?xml version="1.0" encoding="utf-8"?>
<c:userShapes xmlns:c="http://schemas.openxmlformats.org/drawingml/2006/chart">
  <cdr:relSizeAnchor xmlns:cdr="http://schemas.openxmlformats.org/drawingml/2006/chartDrawing">
    <cdr:from>
      <cdr:x>0.61187</cdr:x>
      <cdr:y>0.53812</cdr:y>
    </cdr:from>
    <cdr:to>
      <cdr:x>0.90635</cdr:x>
      <cdr:y>0.62866</cdr:y>
    </cdr:to>
    <cdr:sp macro="" textlink="">
      <cdr:nvSpPr>
        <cdr:cNvPr id="2" name="TextBox 1"/>
        <cdr:cNvSpPr txBox="1"/>
      </cdr:nvSpPr>
      <cdr:spPr>
        <a:xfrm xmlns:a="http://schemas.openxmlformats.org/drawingml/2006/main">
          <a:off x="3362780" y="1260896"/>
          <a:ext cx="1618440" cy="2121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dr:relSizeAnchor xmlns:cdr="http://schemas.openxmlformats.org/drawingml/2006/chartDrawing">
    <cdr:from>
      <cdr:x>0.43959</cdr:x>
      <cdr:y>0.0535</cdr:y>
    </cdr:from>
    <cdr:to>
      <cdr:x>0.60227</cdr:x>
      <cdr:y>0.20779</cdr:y>
    </cdr:to>
    <cdr:sp macro="" textlink="">
      <cdr:nvSpPr>
        <cdr:cNvPr id="3" name="TextBox 1"/>
        <cdr:cNvSpPr txBox="1"/>
      </cdr:nvSpPr>
      <cdr:spPr>
        <a:xfrm xmlns:a="http://schemas.openxmlformats.org/drawingml/2006/main">
          <a:off x="2415980" y="125359"/>
          <a:ext cx="894077" cy="3615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AT&amp;T</a:t>
          </a:r>
        </a:p>
      </cdr:txBody>
    </cdr:sp>
  </cdr:relSizeAnchor>
  <cdr:relSizeAnchor xmlns:cdr="http://schemas.openxmlformats.org/drawingml/2006/chartDrawing">
    <cdr:from>
      <cdr:x>0.40491</cdr:x>
      <cdr:y>0.51219</cdr:y>
    </cdr:from>
    <cdr:to>
      <cdr:x>0.7638</cdr:x>
      <cdr:y>0.66341</cdr:y>
    </cdr:to>
    <cdr:sp macro="" textlink="">
      <cdr:nvSpPr>
        <cdr:cNvPr id="4" name="TextBox 2"/>
        <cdr:cNvSpPr txBox="1"/>
      </cdr:nvSpPr>
      <cdr:spPr>
        <a:xfrm xmlns:a="http://schemas.openxmlformats.org/drawingml/2006/main">
          <a:off x="1257298" y="1000124"/>
          <a:ext cx="1114425"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0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0.40831</cdr:x>
      <cdr:y>0.05209</cdr:y>
    </cdr:from>
    <cdr:to>
      <cdr:x>0.58494</cdr:x>
      <cdr:y>0.15973</cdr:y>
    </cdr:to>
    <cdr:sp macro="" textlink="">
      <cdr:nvSpPr>
        <cdr:cNvPr id="2" name="TextBox 1"/>
        <cdr:cNvSpPr txBox="1"/>
      </cdr:nvSpPr>
      <cdr:spPr>
        <a:xfrm xmlns:a="http://schemas.openxmlformats.org/drawingml/2006/main">
          <a:off x="2220709" y="125032"/>
          <a:ext cx="960651" cy="2583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General Motors</a:t>
          </a:r>
        </a:p>
      </cdr:txBody>
    </cdr:sp>
  </cdr:relSizeAnchor>
  <cdr:relSizeAnchor xmlns:cdr="http://schemas.openxmlformats.org/drawingml/2006/chartDrawing">
    <cdr:from>
      <cdr:x>0.61821</cdr:x>
      <cdr:y>0.46825</cdr:y>
    </cdr:from>
    <cdr:to>
      <cdr:x>0.81436</cdr:x>
      <cdr:y>0.57143</cdr:y>
    </cdr:to>
    <cdr:sp macro="" textlink="">
      <cdr:nvSpPr>
        <cdr:cNvPr id="3" name="TextBox 2"/>
        <cdr:cNvSpPr txBox="1"/>
      </cdr:nvSpPr>
      <cdr:spPr>
        <a:xfrm xmlns:a="http://schemas.openxmlformats.org/drawingml/2006/main">
          <a:off x="3362325" y="1123950"/>
          <a:ext cx="10668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drawings/drawing20.xml><?xml version="1.0" encoding="utf-8"?>
<c:userShapes xmlns:c="http://schemas.openxmlformats.org/drawingml/2006/chart">
  <cdr:relSizeAnchor xmlns:cdr="http://schemas.openxmlformats.org/drawingml/2006/chartDrawing">
    <cdr:from>
      <cdr:x>0.41793</cdr:x>
      <cdr:y>0.36402</cdr:y>
    </cdr:from>
    <cdr:to>
      <cdr:x>0.60727</cdr:x>
      <cdr:y>0.46818</cdr:y>
    </cdr:to>
    <cdr:sp macro="" textlink="">
      <cdr:nvSpPr>
        <cdr:cNvPr id="2" name="TextBox 1"/>
        <cdr:cNvSpPr txBox="1"/>
      </cdr:nvSpPr>
      <cdr:spPr>
        <a:xfrm xmlns:a="http://schemas.openxmlformats.org/drawingml/2006/main">
          <a:off x="2300894" y="901497"/>
          <a:ext cx="1042402" cy="2579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baseline="0">
              <a:latin typeface="Times New Roman" pitchFamily="18" charset="0"/>
              <a:cs typeface="Times New Roman" pitchFamily="18" charset="0"/>
            </a:rPr>
            <a:t>Debt/Total Assets</a:t>
          </a:r>
          <a:endParaRPr lang="en-US" sz="1000" i="1">
            <a:latin typeface="Times New Roman" pitchFamily="18" charset="0"/>
            <a:cs typeface="Times New Roman" pitchFamily="18" charset="0"/>
          </a:endParaRPr>
        </a:p>
      </cdr:txBody>
    </cdr:sp>
  </cdr:relSizeAnchor>
  <cdr:relSizeAnchor xmlns:cdr="http://schemas.openxmlformats.org/drawingml/2006/chartDrawing">
    <cdr:from>
      <cdr:x>0.44615</cdr:x>
      <cdr:y>0.07362</cdr:y>
    </cdr:from>
    <cdr:to>
      <cdr:x>0.61224</cdr:x>
      <cdr:y>0.17692</cdr:y>
    </cdr:to>
    <cdr:sp macro="" textlink="">
      <cdr:nvSpPr>
        <cdr:cNvPr id="3" name="TextBox 2"/>
        <cdr:cNvSpPr txBox="1"/>
      </cdr:nvSpPr>
      <cdr:spPr>
        <a:xfrm xmlns:a="http://schemas.openxmlformats.org/drawingml/2006/main">
          <a:off x="2520010" y="182320"/>
          <a:ext cx="938130" cy="2558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U.S. Steel</a:t>
          </a:r>
        </a:p>
      </cdr:txBody>
    </cdr:sp>
  </cdr:relSizeAnchor>
</c:userShapes>
</file>

<file path=word/drawings/drawing21.xml><?xml version="1.0" encoding="utf-8"?>
<c:userShapes xmlns:c="http://schemas.openxmlformats.org/drawingml/2006/chart">
  <cdr:relSizeAnchor xmlns:cdr="http://schemas.openxmlformats.org/drawingml/2006/chartDrawing">
    <cdr:from>
      <cdr:x>0.55317</cdr:x>
      <cdr:y>0.35179</cdr:y>
    </cdr:from>
    <cdr:to>
      <cdr:x>0.75274</cdr:x>
      <cdr:y>0.43221</cdr:y>
    </cdr:to>
    <cdr:sp macro="" textlink="">
      <cdr:nvSpPr>
        <cdr:cNvPr id="2" name="TextBox 1"/>
        <cdr:cNvSpPr txBox="1"/>
      </cdr:nvSpPr>
      <cdr:spPr>
        <a:xfrm xmlns:a="http://schemas.openxmlformats.org/drawingml/2006/main">
          <a:off x="2992759" y="924822"/>
          <a:ext cx="1079707" cy="2114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dr:relSizeAnchor xmlns:cdr="http://schemas.openxmlformats.org/drawingml/2006/chartDrawing">
    <cdr:from>
      <cdr:x>0.41021</cdr:x>
      <cdr:y>0.07689</cdr:y>
    </cdr:from>
    <cdr:to>
      <cdr:x>0.62852</cdr:x>
      <cdr:y>0.15438</cdr:y>
    </cdr:to>
    <cdr:sp macro="" textlink="">
      <cdr:nvSpPr>
        <cdr:cNvPr id="3" name="TextBox 2"/>
        <cdr:cNvSpPr txBox="1"/>
      </cdr:nvSpPr>
      <cdr:spPr>
        <a:xfrm xmlns:a="http://schemas.openxmlformats.org/drawingml/2006/main">
          <a:off x="2219318" y="202133"/>
          <a:ext cx="1181101" cy="2037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Bethlehem Steel</a:t>
          </a:r>
        </a:p>
      </cdr:txBody>
    </cdr:sp>
  </cdr:relSizeAnchor>
</c:userShapes>
</file>

<file path=word/drawings/drawing22.xml><?xml version="1.0" encoding="utf-8"?>
<c:userShapes xmlns:c="http://schemas.openxmlformats.org/drawingml/2006/chart">
  <cdr:relSizeAnchor xmlns:cdr="http://schemas.openxmlformats.org/drawingml/2006/chartDrawing">
    <cdr:from>
      <cdr:x>0.38125</cdr:x>
      <cdr:y>0.05556</cdr:y>
    </cdr:from>
    <cdr:to>
      <cdr:x>0.66667</cdr:x>
      <cdr:y>0.18403</cdr:y>
    </cdr:to>
    <cdr:sp macro="" textlink="">
      <cdr:nvSpPr>
        <cdr:cNvPr id="2" name="TextBox 1"/>
        <cdr:cNvSpPr txBox="1"/>
      </cdr:nvSpPr>
      <cdr:spPr>
        <a:xfrm xmlns:a="http://schemas.openxmlformats.org/drawingml/2006/main">
          <a:off x="1743074" y="152400"/>
          <a:ext cx="1304925"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International Paper</a:t>
          </a:r>
        </a:p>
      </cdr:txBody>
    </cdr:sp>
  </cdr:relSizeAnchor>
  <cdr:relSizeAnchor xmlns:cdr="http://schemas.openxmlformats.org/drawingml/2006/chartDrawing">
    <cdr:from>
      <cdr:x>0.67507</cdr:x>
      <cdr:y>0.1951</cdr:y>
    </cdr:from>
    <cdr:to>
      <cdr:x>0.91049</cdr:x>
      <cdr:y>0.29927</cdr:y>
    </cdr:to>
    <cdr:sp macro="" textlink="">
      <cdr:nvSpPr>
        <cdr:cNvPr id="3" name="TextBox 2"/>
        <cdr:cNvSpPr txBox="1"/>
      </cdr:nvSpPr>
      <cdr:spPr>
        <a:xfrm xmlns:a="http://schemas.openxmlformats.org/drawingml/2006/main">
          <a:off x="3793709" y="449720"/>
          <a:ext cx="1323002" cy="24011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a:t>
          </a:r>
          <a:r>
            <a:rPr lang="en-US" sz="1000" i="1" baseline="0">
              <a:latin typeface="Times New Roman" pitchFamily="18" charset="0"/>
              <a:cs typeface="Times New Roman" pitchFamily="18" charset="0"/>
            </a:rPr>
            <a:t> Assets</a:t>
          </a:r>
          <a:endParaRPr lang="en-US" sz="1000" i="1">
            <a:latin typeface="Times New Roman" pitchFamily="18" charset="0"/>
            <a:cs typeface="Times New Roman" pitchFamily="18" charset="0"/>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0.35302</cdr:x>
      <cdr:y>0.06597</cdr:y>
    </cdr:from>
    <cdr:to>
      <cdr:x>0.67593</cdr:x>
      <cdr:y>0.15972</cdr:y>
    </cdr:to>
    <cdr:sp macro="" textlink="">
      <cdr:nvSpPr>
        <cdr:cNvPr id="2" name="TextBox 1"/>
        <cdr:cNvSpPr txBox="1"/>
      </cdr:nvSpPr>
      <cdr:spPr>
        <a:xfrm xmlns:a="http://schemas.openxmlformats.org/drawingml/2006/main">
          <a:off x="2115007" y="150807"/>
          <a:ext cx="1934626" cy="2143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Woolworth (Foot Locker)</a:t>
          </a:r>
        </a:p>
      </cdr:txBody>
    </cdr:sp>
  </cdr:relSizeAnchor>
  <cdr:relSizeAnchor xmlns:cdr="http://schemas.openxmlformats.org/drawingml/2006/chartDrawing">
    <cdr:from>
      <cdr:x>0.29375</cdr:x>
      <cdr:y>0.36</cdr:y>
    </cdr:from>
    <cdr:to>
      <cdr:x>0.52292</cdr:x>
      <cdr:y>0.49333</cdr:y>
    </cdr:to>
    <cdr:sp macro="" textlink="">
      <cdr:nvSpPr>
        <cdr:cNvPr id="3" name="TextBox 2"/>
        <cdr:cNvSpPr txBox="1"/>
      </cdr:nvSpPr>
      <cdr:spPr>
        <a:xfrm xmlns:a="http://schemas.openxmlformats.org/drawingml/2006/main">
          <a:off x="1625600" y="822960"/>
          <a:ext cx="1268233" cy="3047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drawings/drawing24.xml><?xml version="1.0" encoding="utf-8"?>
<c:userShapes xmlns:c="http://schemas.openxmlformats.org/drawingml/2006/chart">
  <cdr:relSizeAnchor xmlns:cdr="http://schemas.openxmlformats.org/drawingml/2006/chartDrawing">
    <cdr:from>
      <cdr:x>0.43214</cdr:x>
      <cdr:y>0.05237</cdr:y>
    </cdr:from>
    <cdr:to>
      <cdr:x>0.63214</cdr:x>
      <cdr:y>0.15654</cdr:y>
    </cdr:to>
    <cdr:sp macro="" textlink="">
      <cdr:nvSpPr>
        <cdr:cNvPr id="2" name="TextBox 1"/>
        <cdr:cNvSpPr txBox="1"/>
      </cdr:nvSpPr>
      <cdr:spPr>
        <a:xfrm xmlns:a="http://schemas.openxmlformats.org/drawingml/2006/main">
          <a:off x="2354439" y="132686"/>
          <a:ext cx="1089660" cy="2639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Coca-Cola</a:t>
          </a:r>
        </a:p>
      </cdr:txBody>
    </cdr:sp>
  </cdr:relSizeAnchor>
  <cdr:relSizeAnchor xmlns:cdr="http://schemas.openxmlformats.org/drawingml/2006/chartDrawing">
    <cdr:from>
      <cdr:x>0.52589</cdr:x>
      <cdr:y>0.37182</cdr:y>
    </cdr:from>
    <cdr:to>
      <cdr:x>0.7488</cdr:x>
      <cdr:y>0.48987</cdr:y>
    </cdr:to>
    <cdr:sp macro="" textlink="">
      <cdr:nvSpPr>
        <cdr:cNvPr id="3" name="TextBox 2"/>
        <cdr:cNvSpPr txBox="1"/>
      </cdr:nvSpPr>
      <cdr:spPr>
        <a:xfrm xmlns:a="http://schemas.openxmlformats.org/drawingml/2006/main">
          <a:off x="2865218" y="942060"/>
          <a:ext cx="1214480" cy="2990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drawings/drawing3.xml><?xml version="1.0" encoding="utf-8"?>
<c:userShapes xmlns:c="http://schemas.openxmlformats.org/drawingml/2006/chart">
  <cdr:relSizeAnchor xmlns:cdr="http://schemas.openxmlformats.org/drawingml/2006/chartDrawing">
    <cdr:from>
      <cdr:x>0.59478</cdr:x>
      <cdr:y>0.38387</cdr:y>
    </cdr:from>
    <cdr:to>
      <cdr:x>0.79115</cdr:x>
      <cdr:y>0.51581</cdr:y>
    </cdr:to>
    <cdr:sp macro="" textlink="">
      <cdr:nvSpPr>
        <cdr:cNvPr id="2" name="TextBox 1"/>
        <cdr:cNvSpPr txBox="1"/>
      </cdr:nvSpPr>
      <cdr:spPr>
        <a:xfrm xmlns:a="http://schemas.openxmlformats.org/drawingml/2006/main">
          <a:off x="3200883" y="1012814"/>
          <a:ext cx="1056790" cy="3481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dr:relSizeAnchor xmlns:cdr="http://schemas.openxmlformats.org/drawingml/2006/chartDrawing">
    <cdr:from>
      <cdr:x>0.46726</cdr:x>
      <cdr:y>0.04779</cdr:y>
    </cdr:from>
    <cdr:to>
      <cdr:x>0.55575</cdr:x>
      <cdr:y>0.18657</cdr:y>
    </cdr:to>
    <cdr:sp macro="" textlink="">
      <cdr:nvSpPr>
        <cdr:cNvPr id="3" name="TextBox 2"/>
        <cdr:cNvSpPr txBox="1"/>
      </cdr:nvSpPr>
      <cdr:spPr>
        <a:xfrm xmlns:a="http://schemas.openxmlformats.org/drawingml/2006/main">
          <a:off x="2514618" y="123825"/>
          <a:ext cx="476220" cy="3595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IBM</a:t>
          </a:r>
        </a:p>
      </cdr:txBody>
    </cdr:sp>
  </cdr:relSizeAnchor>
</c:userShapes>
</file>

<file path=word/drawings/drawing4.xml><?xml version="1.0" encoding="utf-8"?>
<c:userShapes xmlns:c="http://schemas.openxmlformats.org/drawingml/2006/chart">
  <cdr:relSizeAnchor xmlns:cdr="http://schemas.openxmlformats.org/drawingml/2006/chartDrawing">
    <cdr:from>
      <cdr:x>0.39884</cdr:x>
      <cdr:y>0.05208</cdr:y>
    </cdr:from>
    <cdr:to>
      <cdr:x>0.66759</cdr:x>
      <cdr:y>0.15625</cdr:y>
    </cdr:to>
    <cdr:sp macro="" textlink="">
      <cdr:nvSpPr>
        <cdr:cNvPr id="2" name="TextBox 1"/>
        <cdr:cNvSpPr txBox="1"/>
      </cdr:nvSpPr>
      <cdr:spPr>
        <a:xfrm xmlns:a="http://schemas.openxmlformats.org/drawingml/2006/main">
          <a:off x="2237583" y="131456"/>
          <a:ext cx="1507748" cy="2629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Procter &amp; Gamble</a:t>
          </a:r>
        </a:p>
      </cdr:txBody>
    </cdr:sp>
  </cdr:relSizeAnchor>
  <cdr:relSizeAnchor xmlns:cdr="http://schemas.openxmlformats.org/drawingml/2006/chartDrawing">
    <cdr:from>
      <cdr:x>0.65552</cdr:x>
      <cdr:y>0.21151</cdr:y>
    </cdr:from>
    <cdr:to>
      <cdr:x>0.85552</cdr:x>
      <cdr:y>0.33304</cdr:y>
    </cdr:to>
    <cdr:sp macro="" textlink="">
      <cdr:nvSpPr>
        <cdr:cNvPr id="3" name="TextBox 2"/>
        <cdr:cNvSpPr txBox="1"/>
      </cdr:nvSpPr>
      <cdr:spPr>
        <a:xfrm xmlns:a="http://schemas.openxmlformats.org/drawingml/2006/main">
          <a:off x="3677634" y="533869"/>
          <a:ext cx="1122045" cy="3067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drawings/drawing5.xml><?xml version="1.0" encoding="utf-8"?>
<c:userShapes xmlns:c="http://schemas.openxmlformats.org/drawingml/2006/chart">
  <cdr:relSizeAnchor xmlns:cdr="http://schemas.openxmlformats.org/drawingml/2006/chartDrawing">
    <cdr:from>
      <cdr:x>0.432</cdr:x>
      <cdr:y>0.50678</cdr:y>
    </cdr:from>
    <cdr:to>
      <cdr:x>0.68617</cdr:x>
      <cdr:y>0.604</cdr:y>
    </cdr:to>
    <cdr:sp macro="" textlink="">
      <cdr:nvSpPr>
        <cdr:cNvPr id="2" name="TextBox 1"/>
        <cdr:cNvSpPr txBox="1"/>
      </cdr:nvSpPr>
      <cdr:spPr>
        <a:xfrm xmlns:a="http://schemas.openxmlformats.org/drawingml/2006/main">
          <a:off x="2563535" y="1177798"/>
          <a:ext cx="1508264" cy="2259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dr:relSizeAnchor xmlns:cdr="http://schemas.openxmlformats.org/drawingml/2006/chartDrawing">
    <cdr:from>
      <cdr:x>0.34251</cdr:x>
      <cdr:y>0.04514</cdr:y>
    </cdr:from>
    <cdr:to>
      <cdr:x>0.7196</cdr:x>
      <cdr:y>0.13889</cdr:y>
    </cdr:to>
    <cdr:sp macro="" textlink="">
      <cdr:nvSpPr>
        <cdr:cNvPr id="3" name="TextBox 2"/>
        <cdr:cNvSpPr txBox="1"/>
      </cdr:nvSpPr>
      <cdr:spPr>
        <a:xfrm xmlns:a="http://schemas.openxmlformats.org/drawingml/2006/main">
          <a:off x="1908531" y="104910"/>
          <a:ext cx="2101193" cy="2178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baseline="0">
              <a:latin typeface="Times New Roman" pitchFamily="18" charset="0"/>
              <a:cs typeface="Times New Roman" pitchFamily="18" charset="0"/>
            </a:rPr>
            <a:t> Allied Chemical (Honeywell)</a:t>
          </a:r>
          <a:endParaRPr lang="en-US" sz="1000" b="1">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0.40208</cdr:x>
      <cdr:y>0.04861</cdr:y>
    </cdr:from>
    <cdr:to>
      <cdr:x>0.62917</cdr:x>
      <cdr:y>0.16319</cdr:y>
    </cdr:to>
    <cdr:sp macro="" textlink="">
      <cdr:nvSpPr>
        <cdr:cNvPr id="2" name="TextBox 1"/>
        <cdr:cNvSpPr txBox="1"/>
      </cdr:nvSpPr>
      <cdr:spPr>
        <a:xfrm xmlns:a="http://schemas.openxmlformats.org/drawingml/2006/main">
          <a:off x="1838324" y="133350"/>
          <a:ext cx="1038225"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Union Carbide</a:t>
          </a:r>
        </a:p>
      </cdr:txBody>
    </cdr:sp>
  </cdr:relSizeAnchor>
  <cdr:relSizeAnchor xmlns:cdr="http://schemas.openxmlformats.org/drawingml/2006/chartDrawing">
    <cdr:from>
      <cdr:x>0.39702</cdr:x>
      <cdr:y>0.58848</cdr:y>
    </cdr:from>
    <cdr:to>
      <cdr:x>0.61999</cdr:x>
      <cdr:y>0.69612</cdr:y>
    </cdr:to>
    <cdr:sp macro="" textlink="">
      <cdr:nvSpPr>
        <cdr:cNvPr id="3" name="TextBox 2"/>
        <cdr:cNvSpPr txBox="1"/>
      </cdr:nvSpPr>
      <cdr:spPr>
        <a:xfrm xmlns:a="http://schemas.openxmlformats.org/drawingml/2006/main">
          <a:off x="2197100" y="1373293"/>
          <a:ext cx="1233921" cy="2511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0" i="1">
              <a:latin typeface="Times New Roman" pitchFamily="18" charset="0"/>
              <a:cs typeface="Times New Roman" pitchFamily="18" charset="0"/>
            </a:rPr>
            <a:t>Debt/Total Assets</a:t>
          </a:r>
        </a:p>
      </cdr:txBody>
    </cdr:sp>
  </cdr:relSizeAnchor>
</c:userShapes>
</file>

<file path=word/drawings/drawing7.xml><?xml version="1.0" encoding="utf-8"?>
<c:userShapes xmlns:c="http://schemas.openxmlformats.org/drawingml/2006/chart">
  <cdr:relSizeAnchor xmlns:cdr="http://schemas.openxmlformats.org/drawingml/2006/chartDrawing">
    <cdr:from>
      <cdr:x>0.68479</cdr:x>
      <cdr:y>0.15954</cdr:y>
    </cdr:from>
    <cdr:to>
      <cdr:x>0.88185</cdr:x>
      <cdr:y>0.26371</cdr:y>
    </cdr:to>
    <cdr:sp macro="" textlink="">
      <cdr:nvSpPr>
        <cdr:cNvPr id="2" name="TextBox 1"/>
        <cdr:cNvSpPr txBox="1"/>
      </cdr:nvSpPr>
      <cdr:spPr>
        <a:xfrm xmlns:a="http://schemas.openxmlformats.org/drawingml/2006/main">
          <a:off x="3809209" y="414856"/>
          <a:ext cx="1096166" cy="2708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dr:relSizeAnchor xmlns:cdr="http://schemas.openxmlformats.org/drawingml/2006/chartDrawing">
    <cdr:from>
      <cdr:x>0.42466</cdr:x>
      <cdr:y>0.05495</cdr:y>
    </cdr:from>
    <cdr:to>
      <cdr:x>0.58904</cdr:x>
      <cdr:y>0.14652</cdr:y>
    </cdr:to>
    <cdr:sp macro="" textlink="">
      <cdr:nvSpPr>
        <cdr:cNvPr id="3" name="TextBox 2"/>
        <cdr:cNvSpPr txBox="1"/>
      </cdr:nvSpPr>
      <cdr:spPr>
        <a:xfrm xmlns:a="http://schemas.openxmlformats.org/drawingml/2006/main">
          <a:off x="2362200" y="142875"/>
          <a:ext cx="91440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Sears Roebuck </a:t>
          </a:r>
          <a:endParaRPr lang="en-US" sz="1000" b="1"/>
        </a:p>
      </cdr:txBody>
    </cdr:sp>
  </cdr:relSizeAnchor>
</c:userShapes>
</file>

<file path=word/drawings/drawing8.xml><?xml version="1.0" encoding="utf-8"?>
<c:userShapes xmlns:c="http://schemas.openxmlformats.org/drawingml/2006/chart">
  <cdr:relSizeAnchor xmlns:cdr="http://schemas.openxmlformats.org/drawingml/2006/chartDrawing">
    <cdr:from>
      <cdr:x>0.33312</cdr:x>
      <cdr:y>0.04964</cdr:y>
    </cdr:from>
    <cdr:to>
      <cdr:x>0.7602</cdr:x>
      <cdr:y>0.16075</cdr:y>
    </cdr:to>
    <cdr:sp macro="" textlink="">
      <cdr:nvSpPr>
        <cdr:cNvPr id="2" name="TextBox 1"/>
        <cdr:cNvSpPr txBox="1"/>
      </cdr:nvSpPr>
      <cdr:spPr>
        <a:xfrm xmlns:a="http://schemas.openxmlformats.org/drawingml/2006/main">
          <a:off x="1846659" y="118674"/>
          <a:ext cx="2367540" cy="2656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International</a:t>
          </a:r>
          <a:r>
            <a:rPr lang="en-US" sz="1000" b="1" baseline="0">
              <a:latin typeface="Times New Roman" pitchFamily="18" charset="0"/>
              <a:cs typeface="Times New Roman" pitchFamily="18" charset="0"/>
            </a:rPr>
            <a:t> Harvester (Navistar)</a:t>
          </a:r>
          <a:endParaRPr lang="en-US" sz="1000" b="1">
            <a:latin typeface="Times New Roman" pitchFamily="18" charset="0"/>
            <a:cs typeface="Times New Roman" pitchFamily="18" charset="0"/>
          </a:endParaRPr>
        </a:p>
      </cdr:txBody>
    </cdr:sp>
  </cdr:relSizeAnchor>
  <cdr:relSizeAnchor xmlns:cdr="http://schemas.openxmlformats.org/drawingml/2006/chartDrawing">
    <cdr:from>
      <cdr:x>0.54066</cdr:x>
      <cdr:y>0.60452</cdr:y>
    </cdr:from>
    <cdr:to>
      <cdr:x>0.78025</cdr:x>
      <cdr:y>0.71563</cdr:y>
    </cdr:to>
    <cdr:sp macro="" textlink="">
      <cdr:nvSpPr>
        <cdr:cNvPr id="3" name="TextBox 2"/>
        <cdr:cNvSpPr txBox="1"/>
      </cdr:nvSpPr>
      <cdr:spPr>
        <a:xfrm xmlns:a="http://schemas.openxmlformats.org/drawingml/2006/main">
          <a:off x="2997200" y="1445260"/>
          <a:ext cx="1328179" cy="2656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drawings/drawing9.xml><?xml version="1.0" encoding="utf-8"?>
<c:userShapes xmlns:c="http://schemas.openxmlformats.org/drawingml/2006/chart">
  <cdr:relSizeAnchor xmlns:cdr="http://schemas.openxmlformats.org/drawingml/2006/chartDrawing">
    <cdr:from>
      <cdr:x>0.61702</cdr:x>
      <cdr:y>0.52743</cdr:y>
    </cdr:from>
    <cdr:to>
      <cdr:x>0.90881</cdr:x>
      <cdr:y>0.65823</cdr:y>
    </cdr:to>
    <cdr:sp macro="" textlink="">
      <cdr:nvSpPr>
        <cdr:cNvPr id="2" name="TextBox 1"/>
        <cdr:cNvSpPr txBox="1"/>
      </cdr:nvSpPr>
      <cdr:spPr>
        <a:xfrm xmlns:a="http://schemas.openxmlformats.org/drawingml/2006/main">
          <a:off x="1933582" y="1190634"/>
          <a:ext cx="914389" cy="2952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Times New Roman" pitchFamily="18" charset="0"/>
              <a:cs typeface="Times New Roman" pitchFamily="18" charset="0"/>
            </a:rPr>
            <a:t>Debt/Total Assets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8189-A740-40F4-8933-21032D6A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8263</Words>
  <Characters>47102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55255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deangelo</dc:creator>
  <cp:lastModifiedBy>maggie</cp:lastModifiedBy>
  <cp:revision>2</cp:revision>
  <cp:lastPrinted>2014-01-25T21:48:00Z</cp:lastPrinted>
  <dcterms:created xsi:type="dcterms:W3CDTF">2019-02-22T23:37:00Z</dcterms:created>
  <dcterms:modified xsi:type="dcterms:W3CDTF">2019-02-22T23:37:00Z</dcterms:modified>
</cp:coreProperties>
</file>