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E0" w:rsidRPr="00970D1C" w:rsidRDefault="006A0435" w:rsidP="006A0435">
      <w:pPr>
        <w:jc w:val="center"/>
        <w:rPr>
          <w:b/>
          <w:sz w:val="40"/>
          <w:szCs w:val="40"/>
        </w:rPr>
      </w:pPr>
      <w:r w:rsidRPr="00970D1C">
        <w:rPr>
          <w:b/>
          <w:sz w:val="40"/>
          <w:szCs w:val="40"/>
        </w:rPr>
        <w:t xml:space="preserve">First </w:t>
      </w:r>
      <w:proofErr w:type="gramStart"/>
      <w:r w:rsidRPr="00970D1C">
        <w:rPr>
          <w:b/>
          <w:sz w:val="40"/>
          <w:szCs w:val="40"/>
        </w:rPr>
        <w:t>Mid</w:t>
      </w:r>
      <w:proofErr w:type="gramEnd"/>
      <w:r w:rsidRPr="00970D1C">
        <w:rPr>
          <w:b/>
          <w:sz w:val="40"/>
          <w:szCs w:val="40"/>
        </w:rPr>
        <w:t xml:space="preserve"> Term Exam</w:t>
      </w:r>
    </w:p>
    <w:p w:rsidR="006A0435" w:rsidRDefault="006A0435" w:rsidP="006A0435">
      <w:pPr>
        <w:jc w:val="center"/>
        <w:rPr>
          <w:sz w:val="24"/>
          <w:szCs w:val="24"/>
        </w:rPr>
      </w:pPr>
      <w:r w:rsidRPr="006A0435">
        <w:rPr>
          <w:sz w:val="24"/>
          <w:szCs w:val="24"/>
        </w:rPr>
        <w:t>Name _______</w:t>
      </w:r>
      <w:r>
        <w:rPr>
          <w:sz w:val="24"/>
          <w:szCs w:val="24"/>
        </w:rPr>
        <w:t>_______________________________________</w:t>
      </w:r>
      <w:r w:rsidRPr="006A0435">
        <w:rPr>
          <w:sz w:val="24"/>
          <w:szCs w:val="24"/>
        </w:rPr>
        <w:t>________</w:t>
      </w:r>
    </w:p>
    <w:p w:rsidR="006A0435" w:rsidRDefault="006A0435" w:rsidP="006A0435">
      <w:pPr>
        <w:jc w:val="center"/>
        <w:rPr>
          <w:sz w:val="24"/>
          <w:szCs w:val="24"/>
        </w:rPr>
      </w:pPr>
    </w:p>
    <w:p w:rsidR="006A0435" w:rsidRPr="006A0435" w:rsidRDefault="006A0435" w:rsidP="006A0435">
      <w:pPr>
        <w:rPr>
          <w:b/>
          <w:sz w:val="24"/>
          <w:szCs w:val="24"/>
          <w:u w:val="single"/>
        </w:rPr>
      </w:pPr>
      <w:r w:rsidRPr="006A0435">
        <w:rPr>
          <w:b/>
          <w:sz w:val="24"/>
          <w:szCs w:val="24"/>
          <w:u w:val="single"/>
        </w:rPr>
        <w:t>Short Answer Questions</w:t>
      </w:r>
    </w:p>
    <w:p w:rsidR="001D2F58" w:rsidRDefault="001D2F58" w:rsidP="001D2F58">
      <w:pPr>
        <w:pStyle w:val="ListParagraph"/>
        <w:numPr>
          <w:ilvl w:val="0"/>
          <w:numId w:val="1"/>
        </w:numPr>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the article “What caused the financial crisis”, the authors say that “b</w:t>
      </w:r>
      <w:r w:rsidRPr="001D2F58">
        <w:rPr>
          <w:rFonts w:ascii="Times New Roman" w:eastAsia="Times New Roman" w:hAnsi="Times New Roman" w:cs="Times New Roman"/>
          <w:color w:val="333333"/>
          <w:sz w:val="24"/>
          <w:szCs w:val="24"/>
        </w:rPr>
        <w:t>ut it is dangerous to conclude that the crisis would have been avoided if only we had regulated everything a lot more, had fewer housing subsidies, and had more responsible bankers. Simple narratives like these ignore the global nature of this crisis, and promote a simplistic explanation of a complex problem. Though tempting politically, they will ultimately lead to mistaken policies.</w:t>
      </w:r>
      <w:r>
        <w:rPr>
          <w:rFonts w:ascii="Times New Roman" w:eastAsia="Times New Roman" w:hAnsi="Times New Roman" w:cs="Times New Roman"/>
          <w:color w:val="333333"/>
          <w:sz w:val="24"/>
          <w:szCs w:val="24"/>
        </w:rPr>
        <w:t>” Do you agree to the above opinion? Why or why not? How to prevent the next financial crisis? (10 points)</w:t>
      </w:r>
    </w:p>
    <w:p w:rsidR="001D2F58" w:rsidRDefault="001D2F58" w:rsidP="001D2F58">
      <w:pPr>
        <w:pStyle w:val="ListParagraph"/>
        <w:spacing w:after="0" w:line="240" w:lineRule="auto"/>
        <w:jc w:val="both"/>
        <w:textAlignment w:val="baseline"/>
        <w:rPr>
          <w:rFonts w:ascii="Times New Roman" w:eastAsia="Times New Roman" w:hAnsi="Times New Roman" w:cs="Times New Roman"/>
          <w:color w:val="333333"/>
          <w:sz w:val="24"/>
          <w:szCs w:val="24"/>
        </w:rPr>
      </w:pPr>
    </w:p>
    <w:p w:rsidR="001D2F58" w:rsidRDefault="001D2F58" w:rsidP="001D2F58">
      <w:pPr>
        <w:pStyle w:val="ListParagraph"/>
        <w:spacing w:after="0" w:line="240" w:lineRule="auto"/>
        <w:jc w:val="both"/>
        <w:textAlignment w:val="baseline"/>
        <w:rPr>
          <w:rFonts w:ascii="Times New Roman" w:eastAsia="Times New Roman" w:hAnsi="Times New Roman" w:cs="Times New Roman"/>
          <w:color w:val="333333"/>
          <w:sz w:val="24"/>
          <w:szCs w:val="24"/>
        </w:rPr>
      </w:pPr>
    </w:p>
    <w:p w:rsidR="001D2F58" w:rsidRDefault="001D2F58" w:rsidP="001D2F58">
      <w:pPr>
        <w:pStyle w:val="ListParagraph"/>
        <w:spacing w:after="0" w:line="240" w:lineRule="auto"/>
        <w:jc w:val="both"/>
        <w:textAlignment w:val="baseline"/>
        <w:rPr>
          <w:rFonts w:ascii="Times New Roman" w:eastAsia="Times New Roman" w:hAnsi="Times New Roman" w:cs="Times New Roman"/>
          <w:color w:val="333333"/>
          <w:sz w:val="24"/>
          <w:szCs w:val="24"/>
        </w:rPr>
      </w:pPr>
    </w:p>
    <w:p w:rsidR="001D2F58" w:rsidRPr="001D2F58" w:rsidRDefault="001D2F58" w:rsidP="001D2F58">
      <w:pPr>
        <w:pStyle w:val="ListParagraph"/>
        <w:numPr>
          <w:ilvl w:val="0"/>
          <w:numId w:val="1"/>
        </w:numPr>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What </w:t>
      </w:r>
      <w:r w:rsidRPr="001D2F58">
        <w:rPr>
          <w:rFonts w:ascii="Times New Roman" w:eastAsia="Times New Roman" w:hAnsi="Times New Roman" w:cs="Times New Roman"/>
          <w:color w:val="222222"/>
          <w:kern w:val="36"/>
          <w:sz w:val="24"/>
          <w:szCs w:val="24"/>
        </w:rPr>
        <w:t xml:space="preserve">are the six parts of the financial markets? </w:t>
      </w:r>
      <w:r w:rsidRPr="001D2F58">
        <w:rPr>
          <w:rFonts w:ascii="Times New Roman" w:eastAsia="Times New Roman" w:hAnsi="Times New Roman" w:cs="Times New Roman"/>
          <w:color w:val="000000"/>
          <w:sz w:val="24"/>
          <w:szCs w:val="24"/>
        </w:rPr>
        <w:t>What are the five core principals of finance</w:t>
      </w:r>
      <w:r>
        <w:rPr>
          <w:rFonts w:ascii="Times New Roman" w:eastAsia="Times New Roman" w:hAnsi="Times New Roman" w:cs="Times New Roman"/>
          <w:color w:val="000000"/>
          <w:sz w:val="24"/>
          <w:szCs w:val="24"/>
        </w:rPr>
        <w:t>? Why do we need stock exchanges? (10 points)</w:t>
      </w:r>
    </w:p>
    <w:p w:rsidR="001D2F58" w:rsidRDefault="001D2F58" w:rsidP="001D2F58">
      <w:pPr>
        <w:pStyle w:val="ListParagraph"/>
        <w:spacing w:after="0" w:line="240" w:lineRule="auto"/>
        <w:jc w:val="both"/>
        <w:textAlignment w:val="baseline"/>
        <w:rPr>
          <w:rFonts w:ascii="Times New Roman" w:eastAsia="Times New Roman" w:hAnsi="Times New Roman" w:cs="Times New Roman"/>
          <w:color w:val="333333"/>
          <w:sz w:val="24"/>
          <w:szCs w:val="24"/>
        </w:rPr>
      </w:pPr>
    </w:p>
    <w:p w:rsidR="000212F7" w:rsidRDefault="000212F7" w:rsidP="001D2F58">
      <w:pPr>
        <w:pStyle w:val="ListParagraph"/>
        <w:spacing w:after="0" w:line="240" w:lineRule="auto"/>
        <w:jc w:val="both"/>
        <w:textAlignment w:val="baseline"/>
        <w:rPr>
          <w:rFonts w:ascii="Times New Roman" w:eastAsia="Times New Roman" w:hAnsi="Times New Roman" w:cs="Times New Roman"/>
          <w:color w:val="333333"/>
          <w:sz w:val="24"/>
          <w:szCs w:val="24"/>
        </w:rPr>
      </w:pPr>
    </w:p>
    <w:p w:rsidR="00970D1C" w:rsidRPr="00970D1C" w:rsidRDefault="000212F7" w:rsidP="00970D1C">
      <w:pPr>
        <w:pStyle w:val="ListParagraph"/>
        <w:numPr>
          <w:ilvl w:val="0"/>
          <w:numId w:val="1"/>
        </w:numPr>
        <w:shd w:val="clear" w:color="auto" w:fill="FFFFFF"/>
        <w:spacing w:before="100" w:beforeAutospacing="1" w:after="150" w:afterAutospacing="1" w:line="240" w:lineRule="auto"/>
        <w:outlineLvl w:val="0"/>
        <w:rPr>
          <w:rFonts w:ascii="Times New Roman" w:eastAsia="Times New Roman" w:hAnsi="Times New Roman" w:cs="Times New Roman"/>
          <w:bCs/>
          <w:color w:val="000000"/>
          <w:kern w:val="36"/>
          <w:sz w:val="24"/>
          <w:szCs w:val="24"/>
        </w:rPr>
      </w:pPr>
      <w:r w:rsidRPr="00970D1C">
        <w:rPr>
          <w:rFonts w:ascii="Times New Roman" w:eastAsia="Times New Roman" w:hAnsi="Times New Roman" w:cs="Times New Roman"/>
          <w:color w:val="000000"/>
          <w:sz w:val="24"/>
          <w:szCs w:val="24"/>
        </w:rPr>
        <w:t xml:space="preserve"> HFTs (high frequency traders) are market maker or market taker? </w:t>
      </w:r>
      <w:r w:rsidR="0031770B" w:rsidRPr="00970D1C">
        <w:rPr>
          <w:rFonts w:ascii="Times New Roman" w:hAnsi="Times New Roman" w:cs="Times New Roman"/>
          <w:sz w:val="24"/>
          <w:szCs w:val="24"/>
        </w:rPr>
        <w:t xml:space="preserve">What can the government do to </w:t>
      </w:r>
      <w:r w:rsidR="00F17F87" w:rsidRPr="00970D1C">
        <w:rPr>
          <w:rFonts w:ascii="Times New Roman" w:hAnsi="Times New Roman" w:cs="Times New Roman"/>
          <w:sz w:val="24"/>
          <w:szCs w:val="24"/>
        </w:rPr>
        <w:t>keep HFTs</w:t>
      </w:r>
      <w:r w:rsidR="0031770B" w:rsidRPr="00970D1C">
        <w:rPr>
          <w:rFonts w:ascii="Times New Roman" w:hAnsi="Times New Roman" w:cs="Times New Roman"/>
          <w:sz w:val="24"/>
          <w:szCs w:val="24"/>
        </w:rPr>
        <w:t xml:space="preserve"> from stealing from the market?</w:t>
      </w:r>
      <w:r w:rsidR="0031770B" w:rsidRPr="00970D1C">
        <w:rPr>
          <w:rFonts w:ascii="Times New Roman" w:eastAsia="Times New Roman" w:hAnsi="Times New Roman" w:cs="Times New Roman"/>
          <w:color w:val="000000"/>
          <w:sz w:val="24"/>
          <w:szCs w:val="24"/>
        </w:rPr>
        <w:t xml:space="preserve"> </w:t>
      </w:r>
      <w:r w:rsidRPr="00970D1C">
        <w:rPr>
          <w:rFonts w:ascii="Times New Roman" w:eastAsia="Times New Roman" w:hAnsi="Times New Roman" w:cs="Times New Roman"/>
          <w:color w:val="000000"/>
          <w:sz w:val="24"/>
          <w:szCs w:val="24"/>
        </w:rPr>
        <w:t>(10 points)</w:t>
      </w:r>
      <w:r w:rsidR="00970D1C" w:rsidRPr="00970D1C">
        <w:rPr>
          <w:rFonts w:ascii="Times New Roman" w:eastAsia="Times New Roman" w:hAnsi="Times New Roman" w:cs="Times New Roman"/>
          <w:color w:val="000000"/>
          <w:sz w:val="24"/>
          <w:szCs w:val="24"/>
        </w:rPr>
        <w:t xml:space="preserve">  --- Read “E</w:t>
      </w:r>
      <w:r w:rsidR="00970D1C" w:rsidRPr="00970D1C">
        <w:rPr>
          <w:rFonts w:ascii="Times New Roman" w:eastAsia="Times New Roman" w:hAnsi="Times New Roman" w:cs="Times New Roman"/>
          <w:bCs/>
          <w:color w:val="000000"/>
          <w:kern w:val="36"/>
          <w:sz w:val="24"/>
          <w:szCs w:val="24"/>
        </w:rPr>
        <w:t xml:space="preserve">verything You Need to Know </w:t>
      </w:r>
      <w:proofErr w:type="gramStart"/>
      <w:r w:rsidR="00970D1C" w:rsidRPr="00970D1C">
        <w:rPr>
          <w:rFonts w:ascii="Times New Roman" w:eastAsia="Times New Roman" w:hAnsi="Times New Roman" w:cs="Times New Roman"/>
          <w:bCs/>
          <w:color w:val="000000"/>
          <w:kern w:val="36"/>
          <w:sz w:val="24"/>
          <w:szCs w:val="24"/>
        </w:rPr>
        <w:t>About</w:t>
      </w:r>
      <w:proofErr w:type="gramEnd"/>
      <w:r w:rsidR="00970D1C" w:rsidRPr="00970D1C">
        <w:rPr>
          <w:rFonts w:ascii="Times New Roman" w:eastAsia="Times New Roman" w:hAnsi="Times New Roman" w:cs="Times New Roman"/>
          <w:bCs/>
          <w:color w:val="000000"/>
          <w:kern w:val="36"/>
          <w:sz w:val="24"/>
          <w:szCs w:val="24"/>
        </w:rPr>
        <w:t xml:space="preserve"> High-Frequency Trading” </w:t>
      </w:r>
      <w:r w:rsidR="00913054">
        <w:rPr>
          <w:rFonts w:ascii="Times New Roman" w:eastAsia="Times New Roman" w:hAnsi="Times New Roman" w:cs="Times New Roman"/>
          <w:bCs/>
          <w:color w:val="000000"/>
          <w:kern w:val="36"/>
          <w:sz w:val="24"/>
          <w:szCs w:val="24"/>
        </w:rPr>
        <w:t>as</w:t>
      </w:r>
      <w:r w:rsidR="00970D1C" w:rsidRPr="00970D1C">
        <w:rPr>
          <w:rFonts w:ascii="Times New Roman" w:eastAsia="Times New Roman" w:hAnsi="Times New Roman" w:cs="Times New Roman"/>
          <w:bCs/>
          <w:color w:val="000000"/>
          <w:kern w:val="36"/>
          <w:sz w:val="24"/>
          <w:szCs w:val="24"/>
        </w:rPr>
        <w:t xml:space="preserve"> reference. </w:t>
      </w:r>
    </w:p>
    <w:p w:rsidR="00970D1C" w:rsidRDefault="00970D1C" w:rsidP="00970D1C">
      <w:pPr>
        <w:shd w:val="clear" w:color="auto" w:fill="FFFFFF"/>
        <w:spacing w:before="100" w:beforeAutospacing="1" w:after="150" w:afterAutospacing="1" w:line="240" w:lineRule="auto"/>
        <w:outlineLvl w:val="0"/>
        <w:rPr>
          <w:rFonts w:ascii="Times New Roman" w:eastAsia="Times New Roman" w:hAnsi="Times New Roman" w:cs="Times New Roman"/>
          <w:b/>
          <w:bCs/>
          <w:color w:val="000000"/>
          <w:kern w:val="36"/>
          <w:sz w:val="24"/>
          <w:szCs w:val="24"/>
        </w:rPr>
      </w:pPr>
    </w:p>
    <w:p w:rsidR="00970D1C" w:rsidRPr="00970D1C" w:rsidRDefault="00970D1C" w:rsidP="00970D1C">
      <w:pPr>
        <w:shd w:val="clear" w:color="auto" w:fill="FFFFFF"/>
        <w:spacing w:before="100" w:beforeAutospacing="1" w:after="150" w:afterAutospacing="1" w:line="240" w:lineRule="auto"/>
        <w:outlineLvl w:val="0"/>
        <w:rPr>
          <w:rFonts w:ascii="Times New Roman" w:eastAsia="Times New Roman" w:hAnsi="Times New Roman" w:cs="Times New Roman"/>
          <w:b/>
          <w:bCs/>
          <w:color w:val="000000"/>
          <w:kern w:val="36"/>
          <w:sz w:val="24"/>
          <w:szCs w:val="24"/>
        </w:rPr>
      </w:pPr>
    </w:p>
    <w:p w:rsidR="00913054" w:rsidRPr="00913054" w:rsidRDefault="00913054" w:rsidP="00913054">
      <w:pPr>
        <w:pStyle w:val="NormalWeb"/>
        <w:numPr>
          <w:ilvl w:val="0"/>
          <w:numId w:val="1"/>
        </w:numPr>
        <w:shd w:val="clear" w:color="auto" w:fill="FFFFFF"/>
        <w:spacing w:before="0" w:beforeAutospacing="0" w:after="40" w:afterAutospacing="0"/>
        <w:rPr>
          <w:color w:val="000000"/>
          <w:sz w:val="27"/>
          <w:szCs w:val="27"/>
        </w:rPr>
      </w:pPr>
      <w:r w:rsidRPr="00913054">
        <w:rPr>
          <w:color w:val="000000"/>
          <w:sz w:val="22"/>
          <w:szCs w:val="22"/>
        </w:rPr>
        <w:t>"While the total amounts will start small, they're going to increase pretty quickly. Next year we're going to have $230 billion that comes off the Treasury portfolio and $150 billion that comes off the mortgage portfolio</w:t>
      </w:r>
      <w:r w:rsidRPr="00913054">
        <w:rPr>
          <w:rFonts w:hint="eastAsia"/>
          <w:color w:val="000000"/>
          <w:sz w:val="22"/>
          <w:szCs w:val="22"/>
        </w:rPr>
        <w:t>…</w:t>
      </w:r>
      <w:r w:rsidRPr="00913054">
        <w:rPr>
          <w:rStyle w:val="apple-converted-space"/>
          <w:color w:val="000000"/>
          <w:sz w:val="22"/>
          <w:szCs w:val="22"/>
        </w:rPr>
        <w:t> </w:t>
      </w:r>
      <w:r w:rsidRPr="00913054">
        <w:rPr>
          <w:color w:val="000000"/>
          <w:sz w:val="22"/>
          <w:szCs w:val="22"/>
        </w:rPr>
        <w:t>By the end of 2021, you're looking at a cumulative impact of $1.4 trillion. The market should be efficient and be pricing it in already."</w:t>
      </w:r>
      <w:r>
        <w:rPr>
          <w:color w:val="000000"/>
          <w:sz w:val="22"/>
          <w:szCs w:val="22"/>
        </w:rPr>
        <w:t xml:space="preserve"> “</w:t>
      </w:r>
      <w:r w:rsidRPr="00913054">
        <w:rPr>
          <w:color w:val="000000"/>
          <w:sz w:val="22"/>
          <w:szCs w:val="22"/>
        </w:rPr>
        <w:t>While banks and central banks will buy some of the</w:t>
      </w:r>
      <w:r w:rsidRPr="00913054">
        <w:rPr>
          <w:rStyle w:val="apple-converted-space"/>
          <w:color w:val="000000"/>
          <w:sz w:val="22"/>
          <w:szCs w:val="22"/>
        </w:rPr>
        <w:t> </w:t>
      </w:r>
      <w:proofErr w:type="spellStart"/>
      <w:r w:rsidRPr="00913054">
        <w:rPr>
          <w:rStyle w:val="spelle"/>
          <w:color w:val="000000"/>
          <w:sz w:val="22"/>
          <w:szCs w:val="22"/>
        </w:rPr>
        <w:t>Treasurys</w:t>
      </w:r>
      <w:proofErr w:type="spellEnd"/>
      <w:r w:rsidRPr="00913054">
        <w:rPr>
          <w:rStyle w:val="apple-converted-space"/>
          <w:color w:val="000000"/>
          <w:sz w:val="22"/>
          <w:szCs w:val="22"/>
        </w:rPr>
        <w:t> </w:t>
      </w:r>
      <w:r w:rsidRPr="00913054">
        <w:rPr>
          <w:color w:val="000000"/>
          <w:sz w:val="22"/>
          <w:szCs w:val="22"/>
        </w:rPr>
        <w:t>and mortgages that the Fed is stepping away from, private investors will also need to step up to buy more. That growing supply in the market could have some impact o</w:t>
      </w:r>
      <w:r>
        <w:rPr>
          <w:color w:val="000000"/>
          <w:sz w:val="22"/>
          <w:szCs w:val="22"/>
        </w:rPr>
        <w:t>n rates, pressuring them higher”.  What has changed in terms of Fed’s monetary policy?</w:t>
      </w:r>
      <w:r w:rsidRPr="00913054">
        <w:rPr>
          <w:color w:val="000000"/>
          <w:sz w:val="22"/>
          <w:szCs w:val="22"/>
        </w:rPr>
        <w:t xml:space="preserve"> </w:t>
      </w:r>
      <w:r w:rsidR="00472009">
        <w:rPr>
          <w:color w:val="000000"/>
          <w:sz w:val="22"/>
          <w:szCs w:val="22"/>
        </w:rPr>
        <w:t xml:space="preserve">Why? </w:t>
      </w:r>
      <w:r w:rsidRPr="00970D1C">
        <w:rPr>
          <w:color w:val="000000"/>
        </w:rPr>
        <w:t>(10 points)  ---</w:t>
      </w:r>
      <w:r>
        <w:rPr>
          <w:color w:val="000000"/>
        </w:rPr>
        <w:t xml:space="preserve"> use “The Fed is taking a major step away from its Great Recession policy” as reference. </w:t>
      </w:r>
    </w:p>
    <w:p w:rsidR="00913054" w:rsidRPr="00913054" w:rsidRDefault="00913054" w:rsidP="00913054">
      <w:pPr>
        <w:pStyle w:val="NormalWeb"/>
        <w:shd w:val="clear" w:color="auto" w:fill="FFFFFF"/>
        <w:spacing w:before="0" w:beforeAutospacing="0" w:after="40" w:afterAutospacing="0"/>
        <w:ind w:left="720"/>
        <w:rPr>
          <w:color w:val="000000"/>
          <w:sz w:val="27"/>
          <w:szCs w:val="27"/>
        </w:rPr>
      </w:pPr>
    </w:p>
    <w:p w:rsidR="00913054" w:rsidRPr="00913054" w:rsidRDefault="00913054" w:rsidP="0031770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lastRenderedPageBreak/>
        <w:t xml:space="preserve"> </w:t>
      </w:r>
      <w:r>
        <w:rPr>
          <w:noProof/>
          <w:lang w:eastAsia="zh-CN"/>
        </w:rPr>
        <w:drawing>
          <wp:inline distT="0" distB="0" distL="0" distR="0">
            <wp:extent cx="2670248" cy="2438400"/>
            <wp:effectExtent l="1905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jpg"/>
                    <pic:cNvPicPr>
                      <a:picLocks noChangeAspect="1" noChangeArrowheads="1"/>
                    </pic:cNvPicPr>
                  </pic:nvPicPr>
                  <pic:blipFill>
                    <a:blip r:embed="rId5" cstate="print"/>
                    <a:srcRect/>
                    <a:stretch>
                      <a:fillRect/>
                    </a:stretch>
                  </pic:blipFill>
                  <pic:spPr bwMode="auto">
                    <a:xfrm>
                      <a:off x="0" y="0"/>
                      <a:ext cx="2670248" cy="2438400"/>
                    </a:xfrm>
                    <a:prstGeom prst="rect">
                      <a:avLst/>
                    </a:prstGeom>
                    <a:noFill/>
                    <a:ln w="9525">
                      <a:noFill/>
                      <a:miter lim="800000"/>
                      <a:headEnd/>
                      <a:tailEnd/>
                    </a:ln>
                  </pic:spPr>
                </pic:pic>
              </a:graphicData>
            </a:graphic>
          </wp:inline>
        </w:drawing>
      </w:r>
      <w:r>
        <w:t xml:space="preserve">     </w:t>
      </w:r>
      <w:r>
        <w:rPr>
          <w:noProof/>
          <w:lang w:eastAsia="zh-CN"/>
        </w:rPr>
        <w:drawing>
          <wp:inline distT="0" distB="0" distL="0" distR="0">
            <wp:extent cx="2562225" cy="2339756"/>
            <wp:effectExtent l="19050" t="0" r="9525" b="0"/>
            <wp:docPr id="4" name="Picture 4"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jpg"/>
                    <pic:cNvPicPr>
                      <a:picLocks noChangeAspect="1" noChangeArrowheads="1"/>
                    </pic:cNvPicPr>
                  </pic:nvPicPr>
                  <pic:blipFill>
                    <a:blip r:embed="rId6" cstate="print"/>
                    <a:srcRect/>
                    <a:stretch>
                      <a:fillRect/>
                    </a:stretch>
                  </pic:blipFill>
                  <pic:spPr bwMode="auto">
                    <a:xfrm>
                      <a:off x="0" y="0"/>
                      <a:ext cx="2564373" cy="2341717"/>
                    </a:xfrm>
                    <a:prstGeom prst="rect">
                      <a:avLst/>
                    </a:prstGeom>
                    <a:noFill/>
                    <a:ln w="9525">
                      <a:noFill/>
                      <a:miter lim="800000"/>
                      <a:headEnd/>
                      <a:tailEnd/>
                    </a:ln>
                  </pic:spPr>
                </pic:pic>
              </a:graphicData>
            </a:graphic>
          </wp:inline>
        </w:drawing>
      </w:r>
    </w:p>
    <w:p w:rsidR="00913054" w:rsidRPr="00913054" w:rsidRDefault="00913054" w:rsidP="00913054">
      <w:pPr>
        <w:pStyle w:val="ListParagraph"/>
        <w:rPr>
          <w:rFonts w:ascii="Times New Roman" w:eastAsia="Times New Roman" w:hAnsi="Times New Roman" w:cs="Times New Roman"/>
          <w:color w:val="000000"/>
          <w:sz w:val="24"/>
          <w:szCs w:val="24"/>
        </w:rPr>
      </w:pPr>
    </w:p>
    <w:p w:rsidR="00913054" w:rsidRPr="00913054" w:rsidRDefault="00913054" w:rsidP="00913054">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Pr>
          <w:noProof/>
          <w:lang w:eastAsia="zh-CN"/>
        </w:rPr>
        <w:drawing>
          <wp:inline distT="0" distB="0" distL="0" distR="0">
            <wp:extent cx="2482496" cy="2266950"/>
            <wp:effectExtent l="19050" t="0" r="0" b="0"/>
            <wp:docPr id="7" name="Picture 7"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5.jpg"/>
                    <pic:cNvPicPr>
                      <a:picLocks noChangeAspect="1" noChangeArrowheads="1"/>
                    </pic:cNvPicPr>
                  </pic:nvPicPr>
                  <pic:blipFill>
                    <a:blip r:embed="rId7" cstate="print"/>
                    <a:srcRect/>
                    <a:stretch>
                      <a:fillRect/>
                    </a:stretch>
                  </pic:blipFill>
                  <pic:spPr bwMode="auto">
                    <a:xfrm>
                      <a:off x="0" y="0"/>
                      <a:ext cx="2482496" cy="2266950"/>
                    </a:xfrm>
                    <a:prstGeom prst="rect">
                      <a:avLst/>
                    </a:prstGeom>
                    <a:noFill/>
                    <a:ln w="9525">
                      <a:noFill/>
                      <a:miter lim="800000"/>
                      <a:headEnd/>
                      <a:tailEnd/>
                    </a:ln>
                  </pic:spPr>
                </pic:pic>
              </a:graphicData>
            </a:graphic>
          </wp:inline>
        </w:drawing>
      </w:r>
    </w:p>
    <w:p w:rsidR="00913054" w:rsidRDefault="00913054" w:rsidP="00913054">
      <w:pPr>
        <w:shd w:val="clear" w:color="auto" w:fill="FFFFFF"/>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shown in the above graph, M2&gt;&gt; </w:t>
      </w:r>
      <w:r w:rsidR="00E24339">
        <w:rPr>
          <w:rFonts w:ascii="Times New Roman" w:eastAsia="Times New Roman" w:hAnsi="Times New Roman" w:cs="Times New Roman"/>
          <w:color w:val="000000"/>
          <w:sz w:val="24"/>
          <w:szCs w:val="24"/>
        </w:rPr>
        <w:t>M1&gt;&gt;M0. Why?</w:t>
      </w:r>
      <w:r>
        <w:rPr>
          <w:rFonts w:ascii="Times New Roman" w:eastAsia="Times New Roman" w:hAnsi="Times New Roman" w:cs="Times New Roman"/>
          <w:color w:val="000000"/>
          <w:sz w:val="24"/>
          <w:szCs w:val="24"/>
        </w:rPr>
        <w:t xml:space="preserve"> </w:t>
      </w:r>
      <w:r w:rsidR="00E24339">
        <w:rPr>
          <w:rFonts w:ascii="Times New Roman" w:eastAsia="Times New Roman" w:hAnsi="Times New Roman" w:cs="Times New Roman"/>
          <w:color w:val="000000"/>
          <w:sz w:val="24"/>
          <w:szCs w:val="24"/>
        </w:rPr>
        <w:t xml:space="preserve"> (10 points)</w:t>
      </w:r>
    </w:p>
    <w:p w:rsidR="00E24339" w:rsidRDefault="00E24339" w:rsidP="00913054">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E24339" w:rsidRDefault="00E24339" w:rsidP="00E24339">
      <w:pPr>
        <w:pStyle w:val="ListParagraph"/>
        <w:numPr>
          <w:ilvl w:val="0"/>
          <w:numId w:val="1"/>
        </w:numPr>
        <w:shd w:val="clear" w:color="auto" w:fill="FFFFFF"/>
        <w:spacing w:after="0" w:line="240" w:lineRule="auto"/>
        <w:ind w:left="360"/>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Imagine that you just deposited $100 in Bank A. Imagine also that the fractional banking system is fully functioning. After three cycles, what is the amount that has been deposited and what is the total amount that has been lent out? Fill up the blanks in the following table (10 points)</w:t>
      </w:r>
    </w:p>
    <w:tbl>
      <w:tblPr>
        <w:tblW w:w="9340" w:type="dxa"/>
        <w:tblCellMar>
          <w:left w:w="0" w:type="dxa"/>
          <w:right w:w="0" w:type="dxa"/>
        </w:tblCellMar>
        <w:tblLook w:val="04A0"/>
      </w:tblPr>
      <w:tblGrid>
        <w:gridCol w:w="1114"/>
        <w:gridCol w:w="1231"/>
        <w:gridCol w:w="987"/>
        <w:gridCol w:w="1287"/>
        <w:gridCol w:w="1490"/>
        <w:gridCol w:w="987"/>
        <w:gridCol w:w="987"/>
        <w:gridCol w:w="1257"/>
      </w:tblGrid>
      <w:tr w:rsidR="00E24339" w:rsidRPr="00E24339" w:rsidTr="00E24339">
        <w:trPr>
          <w:trHeight w:val="945"/>
        </w:trPr>
        <w:tc>
          <w:tcPr>
            <w:tcW w:w="1114" w:type="dxa"/>
            <w:vMerge w:val="restart"/>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Iteration #</w:t>
            </w:r>
            <w:r w:rsidR="00A162CC">
              <w:rPr>
                <w:rFonts w:ascii="Times New Roman" w:eastAsia="Times New Roman" w:hAnsi="Times New Roman" w:cs="Times New Roman"/>
                <w:b/>
                <w:bCs/>
                <w:color w:val="000000"/>
                <w:lang w:eastAsia="zh-CN"/>
              </w:rPr>
              <w:t xml:space="preserve"> </w:t>
            </w:r>
          </w:p>
        </w:tc>
        <w:tc>
          <w:tcPr>
            <w:tcW w:w="1231"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Deposited by</w:t>
            </w:r>
          </w:p>
        </w:tc>
        <w:tc>
          <w:tcPr>
            <w:tcW w:w="98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Amount Held</w:t>
            </w:r>
          </w:p>
        </w:tc>
        <w:tc>
          <w:tcPr>
            <w:tcW w:w="128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Amount</w:t>
            </w:r>
          </w:p>
        </w:tc>
        <w:tc>
          <w:tcPr>
            <w:tcW w:w="1490"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Total Amount that</w:t>
            </w:r>
          </w:p>
        </w:tc>
        <w:tc>
          <w:tcPr>
            <w:tcW w:w="98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Total Amount that</w:t>
            </w:r>
          </w:p>
        </w:tc>
        <w:tc>
          <w:tcPr>
            <w:tcW w:w="98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Total Amount</w:t>
            </w:r>
          </w:p>
        </w:tc>
        <w:tc>
          <w:tcPr>
            <w:tcW w:w="125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Total Amount that</w:t>
            </w:r>
          </w:p>
        </w:tc>
      </w:tr>
      <w:tr w:rsidR="00E24339" w:rsidRPr="00E24339" w:rsidTr="00E24339">
        <w:trPr>
          <w:trHeight w:val="630"/>
        </w:trPr>
        <w:tc>
          <w:tcPr>
            <w:tcW w:w="0" w:type="auto"/>
            <w:vMerge/>
            <w:tcBorders>
              <w:top w:val="single" w:sz="8" w:space="0" w:color="000000"/>
              <w:left w:val="single" w:sz="8" w:space="0" w:color="000000"/>
              <w:bottom w:val="nil"/>
              <w:right w:val="single" w:sz="8" w:space="0" w:color="000000"/>
            </w:tcBorders>
            <w:vAlign w:val="center"/>
            <w:hideMark/>
          </w:tcPr>
          <w:p w:rsidR="00E24339" w:rsidRPr="00E24339" w:rsidRDefault="00E24339" w:rsidP="00E24339">
            <w:pPr>
              <w:spacing w:after="0" w:line="240" w:lineRule="auto"/>
              <w:rPr>
                <w:rFonts w:ascii="Calibri" w:eastAsia="Times New Roman" w:hAnsi="Calibri" w:cs="Calibri"/>
                <w:lang w:eastAsia="zh-CN"/>
              </w:rPr>
            </w:pPr>
          </w:p>
        </w:tc>
        <w:tc>
          <w:tcPr>
            <w:tcW w:w="1231"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Customer</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in Reserve</w:t>
            </w:r>
          </w:p>
        </w:tc>
        <w:tc>
          <w:tcPr>
            <w:tcW w:w="12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Currently</w:t>
            </w:r>
          </w:p>
        </w:tc>
        <w:tc>
          <w:tcPr>
            <w:tcW w:w="1490"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“Can” be</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Has Been</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Held in Reserve</w:t>
            </w:r>
          </w:p>
        </w:tc>
        <w:tc>
          <w:tcPr>
            <w:tcW w:w="125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Customers Believe</w:t>
            </w:r>
          </w:p>
        </w:tc>
      </w:tr>
      <w:tr w:rsidR="00E24339" w:rsidRPr="00E24339" w:rsidTr="00E24339">
        <w:trPr>
          <w:trHeight w:val="630"/>
        </w:trPr>
        <w:tc>
          <w:tcPr>
            <w:tcW w:w="0" w:type="auto"/>
            <w:vMerge/>
            <w:tcBorders>
              <w:top w:val="single" w:sz="8" w:space="0" w:color="000000"/>
              <w:left w:val="single" w:sz="8" w:space="0" w:color="000000"/>
              <w:bottom w:val="nil"/>
              <w:right w:val="single" w:sz="8" w:space="0" w:color="000000"/>
            </w:tcBorders>
            <w:vAlign w:val="center"/>
            <w:hideMark/>
          </w:tcPr>
          <w:p w:rsidR="00E24339" w:rsidRPr="00E24339" w:rsidRDefault="00E24339" w:rsidP="00E24339">
            <w:pPr>
              <w:spacing w:after="0" w:line="240" w:lineRule="auto"/>
              <w:rPr>
                <w:rFonts w:ascii="Calibri" w:eastAsia="Times New Roman" w:hAnsi="Calibri" w:cs="Calibri"/>
                <w:lang w:eastAsia="zh-CN"/>
              </w:rPr>
            </w:pPr>
          </w:p>
        </w:tc>
        <w:tc>
          <w:tcPr>
            <w:tcW w:w="1231"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from Deposit</w:t>
            </w:r>
          </w:p>
        </w:tc>
        <w:tc>
          <w:tcPr>
            <w:tcW w:w="12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Available to</w:t>
            </w:r>
          </w:p>
        </w:tc>
        <w:tc>
          <w:tcPr>
            <w:tcW w:w="1490"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Lent Out</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Lent Out</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125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They Have</w:t>
            </w:r>
          </w:p>
        </w:tc>
      </w:tr>
      <w:tr w:rsidR="00E24339" w:rsidRPr="00E24339" w:rsidTr="00E24339">
        <w:trPr>
          <w:trHeight w:val="315"/>
        </w:trPr>
        <w:tc>
          <w:tcPr>
            <w:tcW w:w="0" w:type="auto"/>
            <w:vMerge/>
            <w:tcBorders>
              <w:top w:val="single" w:sz="8" w:space="0" w:color="000000"/>
              <w:left w:val="single" w:sz="8" w:space="0" w:color="000000"/>
              <w:bottom w:val="nil"/>
              <w:right w:val="single" w:sz="8" w:space="0" w:color="000000"/>
            </w:tcBorders>
            <w:vAlign w:val="center"/>
            <w:hideMark/>
          </w:tcPr>
          <w:p w:rsidR="00E24339" w:rsidRPr="00E24339" w:rsidRDefault="00E24339" w:rsidP="00E24339">
            <w:pPr>
              <w:spacing w:after="0" w:line="240" w:lineRule="auto"/>
              <w:rPr>
                <w:rFonts w:ascii="Calibri" w:eastAsia="Times New Roman" w:hAnsi="Calibri" w:cs="Calibri"/>
                <w:lang w:eastAsia="zh-CN"/>
              </w:rPr>
            </w:pPr>
          </w:p>
        </w:tc>
        <w:tc>
          <w:tcPr>
            <w:tcW w:w="1231"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12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Lend Out</w:t>
            </w:r>
          </w:p>
        </w:tc>
        <w:tc>
          <w:tcPr>
            <w:tcW w:w="1490"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125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r>
      <w:tr w:rsidR="00E24339" w:rsidRPr="00E24339" w:rsidTr="00E24339">
        <w:trPr>
          <w:trHeight w:val="690"/>
        </w:trPr>
        <w:tc>
          <w:tcPr>
            <w:tcW w:w="0" w:type="auto"/>
            <w:vMerge/>
            <w:tcBorders>
              <w:top w:val="single" w:sz="8" w:space="0" w:color="000000"/>
              <w:left w:val="single" w:sz="8" w:space="0" w:color="000000"/>
              <w:bottom w:val="nil"/>
              <w:right w:val="single" w:sz="8" w:space="0" w:color="000000"/>
            </w:tcBorders>
            <w:vAlign w:val="center"/>
            <w:hideMark/>
          </w:tcPr>
          <w:p w:rsidR="00E24339" w:rsidRPr="00E24339" w:rsidRDefault="00E24339" w:rsidP="00E24339">
            <w:pPr>
              <w:spacing w:after="0" w:line="240" w:lineRule="auto"/>
              <w:rPr>
                <w:rFonts w:ascii="Calibri" w:eastAsia="Times New Roman" w:hAnsi="Calibri" w:cs="Calibri"/>
                <w:lang w:eastAsia="zh-CN"/>
              </w:rPr>
            </w:pPr>
          </w:p>
        </w:tc>
        <w:tc>
          <w:tcPr>
            <w:tcW w:w="1231"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12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from Deposit</w:t>
            </w:r>
          </w:p>
        </w:tc>
        <w:tc>
          <w:tcPr>
            <w:tcW w:w="1490"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98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c>
          <w:tcPr>
            <w:tcW w:w="125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b/>
                <w:bCs/>
                <w:color w:val="000000"/>
                <w:lang w:eastAsia="zh-CN"/>
              </w:rPr>
              <w:t> </w:t>
            </w:r>
          </w:p>
        </w:tc>
      </w:tr>
      <w:tr w:rsidR="00E24339" w:rsidRPr="00E24339" w:rsidTr="00E24339">
        <w:trPr>
          <w:trHeight w:val="315"/>
        </w:trPr>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color w:val="000000"/>
                <w:lang w:eastAsia="zh-CN"/>
              </w:rPr>
              <w:t>1</w:t>
            </w:r>
          </w:p>
        </w:tc>
        <w:tc>
          <w:tcPr>
            <w:tcW w:w="1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r>
      <w:tr w:rsidR="00E24339" w:rsidRPr="00E24339" w:rsidTr="00E24339">
        <w:trPr>
          <w:trHeight w:val="315"/>
        </w:trPr>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color w:val="000000"/>
                <w:lang w:eastAsia="zh-CN"/>
              </w:rPr>
              <w:t>2</w:t>
            </w:r>
          </w:p>
        </w:tc>
        <w:tc>
          <w:tcPr>
            <w:tcW w:w="1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r>
      <w:tr w:rsidR="00E24339" w:rsidRPr="00E24339" w:rsidTr="00E24339">
        <w:trPr>
          <w:trHeight w:val="315"/>
        </w:trPr>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r w:rsidRPr="00E24339">
              <w:rPr>
                <w:rFonts w:ascii="Times New Roman" w:eastAsia="Times New Roman" w:hAnsi="Times New Roman" w:cs="Times New Roman"/>
                <w:color w:val="000000"/>
                <w:lang w:eastAsia="zh-CN"/>
              </w:rPr>
              <w:t>3</w:t>
            </w:r>
          </w:p>
        </w:tc>
        <w:tc>
          <w:tcPr>
            <w:tcW w:w="12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c>
          <w:tcPr>
            <w:tcW w:w="12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24339" w:rsidRPr="00E24339" w:rsidRDefault="00E24339" w:rsidP="00E24339">
            <w:pPr>
              <w:spacing w:after="0" w:line="240" w:lineRule="auto"/>
              <w:jc w:val="center"/>
              <w:rPr>
                <w:rFonts w:ascii="Calibri" w:eastAsia="Times New Roman" w:hAnsi="Calibri" w:cs="Calibri"/>
                <w:lang w:eastAsia="zh-CN"/>
              </w:rPr>
            </w:pPr>
          </w:p>
        </w:tc>
      </w:tr>
    </w:tbl>
    <w:p w:rsidR="00E24339" w:rsidRDefault="00E24339" w:rsidP="00E24339">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E24339" w:rsidRDefault="00E24339" w:rsidP="00E24339">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C41485" w:rsidRPr="00733408" w:rsidRDefault="00C41485" w:rsidP="00C41485">
      <w:pPr>
        <w:pStyle w:val="ListParagraph"/>
        <w:numPr>
          <w:ilvl w:val="0"/>
          <w:numId w:val="1"/>
        </w:numPr>
        <w:rPr>
          <w:rFonts w:ascii="Times New Roman" w:hAnsi="Times New Roman" w:cs="Times New Roman"/>
          <w:b/>
          <w:sz w:val="24"/>
          <w:szCs w:val="24"/>
        </w:rPr>
      </w:pPr>
      <w:r w:rsidRPr="00733408">
        <w:rPr>
          <w:rFonts w:ascii="Times New Roman" w:eastAsia="Times New Roman" w:hAnsi="Times New Roman" w:cs="Times New Roman"/>
          <w:color w:val="000000"/>
          <w:sz w:val="24"/>
          <w:szCs w:val="24"/>
        </w:rPr>
        <w:t xml:space="preserve">Time value of money question: </w:t>
      </w:r>
      <w:r w:rsidRPr="00733408">
        <w:rPr>
          <w:rFonts w:ascii="Times New Roman" w:hAnsi="Times New Roman" w:cs="Times New Roman"/>
          <w:sz w:val="24"/>
          <w:szCs w:val="24"/>
        </w:rPr>
        <w:t>After graduation, you plan to work for 12 years and then start your own business. You expect to save $7,500 each year for the first 6 years and $15,000 annually for the following 6 years. The first deposit is expected to be made one year from today. In addition, you just received a $25,000 graduation gift which you will deposit right away.  If the interest rate = 9%, compounded annually. Calculate how much you will have 12 years from now when you start your business?   ------ Just write down the equation. Hint: use the future value formula   future value = present value *(1+ rate)^n  (10 points)</w:t>
      </w: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Default="00733408" w:rsidP="00733408">
      <w:pPr>
        <w:rPr>
          <w:rFonts w:ascii="Times New Roman" w:hAnsi="Times New Roman" w:cs="Times New Roman"/>
          <w:b/>
          <w:sz w:val="24"/>
          <w:szCs w:val="24"/>
        </w:rPr>
      </w:pPr>
    </w:p>
    <w:p w:rsidR="00733408" w:rsidRPr="00733408" w:rsidRDefault="00733408" w:rsidP="00733408">
      <w:pPr>
        <w:rPr>
          <w:rFonts w:ascii="Times New Roman" w:hAnsi="Times New Roman" w:cs="Times New Roman"/>
          <w:b/>
          <w:sz w:val="24"/>
          <w:szCs w:val="24"/>
        </w:rPr>
      </w:pPr>
    </w:p>
    <w:p w:rsidR="00733408" w:rsidRDefault="00165D2A" w:rsidP="00733408">
      <w:pPr>
        <w:pStyle w:val="ListParagraph"/>
        <w:numPr>
          <w:ilvl w:val="0"/>
          <w:numId w:val="1"/>
        </w:numPr>
        <w:shd w:val="clear" w:color="auto" w:fill="FFFFFF"/>
        <w:spacing w:after="0" w:line="240" w:lineRule="auto"/>
        <w:jc w:val="both"/>
        <w:outlineLvl w:val="0"/>
        <w:rPr>
          <w:rFonts w:ascii="Times New Roman" w:eastAsia="Times New Roman" w:hAnsi="Times New Roman" w:cs="Times New Roman"/>
          <w:color w:val="000000"/>
          <w:sz w:val="24"/>
          <w:szCs w:val="24"/>
        </w:rPr>
      </w:pPr>
      <w:r w:rsidRPr="00733408">
        <w:rPr>
          <w:rFonts w:ascii="Times New Roman" w:eastAsia="Times New Roman" w:hAnsi="Times New Roman" w:cs="Times New Roman"/>
          <w:color w:val="000000"/>
          <w:sz w:val="24"/>
          <w:szCs w:val="24"/>
        </w:rPr>
        <w:t xml:space="preserve">You are a fan of Apple products. You anticipate the </w:t>
      </w:r>
      <w:r w:rsidR="00733408" w:rsidRPr="00733408">
        <w:rPr>
          <w:rFonts w:ascii="Times New Roman" w:eastAsia="Times New Roman" w:hAnsi="Times New Roman" w:cs="Times New Roman"/>
          <w:color w:val="000000"/>
          <w:sz w:val="24"/>
          <w:szCs w:val="24"/>
        </w:rPr>
        <w:t>rising</w:t>
      </w:r>
      <w:r w:rsidRPr="00733408">
        <w:rPr>
          <w:rFonts w:ascii="Times New Roman" w:eastAsia="Times New Roman" w:hAnsi="Times New Roman" w:cs="Times New Roman"/>
          <w:color w:val="000000"/>
          <w:sz w:val="24"/>
          <w:szCs w:val="24"/>
        </w:rPr>
        <w:t xml:space="preserve"> of Apple</w:t>
      </w:r>
      <w:r w:rsidR="00733408" w:rsidRPr="00733408">
        <w:rPr>
          <w:rFonts w:ascii="Times New Roman" w:eastAsia="Times New Roman" w:hAnsi="Times New Roman" w:cs="Times New Roman"/>
          <w:color w:val="000000"/>
          <w:sz w:val="24"/>
          <w:szCs w:val="24"/>
        </w:rPr>
        <w:t>’s</w:t>
      </w:r>
      <w:r w:rsidRPr="00733408">
        <w:rPr>
          <w:rFonts w:ascii="Times New Roman" w:eastAsia="Times New Roman" w:hAnsi="Times New Roman" w:cs="Times New Roman"/>
          <w:color w:val="000000"/>
          <w:sz w:val="24"/>
          <w:szCs w:val="24"/>
        </w:rPr>
        <w:t xml:space="preserve"> stock </w:t>
      </w:r>
      <w:r w:rsidR="00733408" w:rsidRPr="00733408">
        <w:rPr>
          <w:rFonts w:ascii="Times New Roman" w:eastAsia="Times New Roman" w:hAnsi="Times New Roman" w:cs="Times New Roman"/>
          <w:color w:val="000000"/>
          <w:sz w:val="24"/>
          <w:szCs w:val="24"/>
        </w:rPr>
        <w:t xml:space="preserve">prices </w:t>
      </w:r>
      <w:r w:rsidRPr="00733408">
        <w:rPr>
          <w:rFonts w:ascii="Times New Roman" w:eastAsia="Times New Roman" w:hAnsi="Times New Roman" w:cs="Times New Roman"/>
          <w:color w:val="000000"/>
          <w:sz w:val="24"/>
          <w:szCs w:val="24"/>
        </w:rPr>
        <w:t xml:space="preserve">after the releasing of </w:t>
      </w:r>
      <w:proofErr w:type="spellStart"/>
      <w:r w:rsidR="00733408" w:rsidRPr="00733408">
        <w:rPr>
          <w:rFonts w:ascii="Times New Roman" w:eastAsia="Times New Roman" w:hAnsi="Times New Roman" w:cs="Times New Roman"/>
          <w:color w:val="000000"/>
          <w:sz w:val="24"/>
          <w:szCs w:val="24"/>
        </w:rPr>
        <w:t>i</w:t>
      </w:r>
      <w:r w:rsidRPr="00733408">
        <w:rPr>
          <w:rFonts w:ascii="Times New Roman" w:eastAsia="Times New Roman" w:hAnsi="Times New Roman" w:cs="Times New Roman"/>
          <w:color w:val="000000"/>
          <w:sz w:val="24"/>
          <w:szCs w:val="24"/>
        </w:rPr>
        <w:t>phone</w:t>
      </w:r>
      <w:proofErr w:type="spellEnd"/>
      <w:r w:rsidRPr="00733408">
        <w:rPr>
          <w:rFonts w:ascii="Times New Roman" w:eastAsia="Times New Roman" w:hAnsi="Times New Roman" w:cs="Times New Roman"/>
          <w:color w:val="000000"/>
          <w:sz w:val="24"/>
          <w:szCs w:val="24"/>
        </w:rPr>
        <w:t xml:space="preserve"> X.</w:t>
      </w:r>
      <w:r w:rsidR="00733408" w:rsidRPr="00733408">
        <w:rPr>
          <w:rFonts w:ascii="Times New Roman" w:eastAsia="Times New Roman" w:hAnsi="Times New Roman" w:cs="Times New Roman"/>
          <w:color w:val="000000"/>
          <w:sz w:val="24"/>
          <w:szCs w:val="24"/>
        </w:rPr>
        <w:t xml:space="preserve"> How can you use different order types to </w:t>
      </w:r>
      <w:r w:rsidR="00B438AD">
        <w:rPr>
          <w:rFonts w:ascii="Times New Roman" w:eastAsia="Times New Roman" w:hAnsi="Times New Roman" w:cs="Times New Roman"/>
          <w:color w:val="000000"/>
          <w:sz w:val="24"/>
          <w:szCs w:val="24"/>
        </w:rPr>
        <w:t>achieve the goal such as earn a respectable return with almost no risk at all (or as little as possible)?</w:t>
      </w:r>
      <w:r w:rsidR="00733408" w:rsidRPr="00733408">
        <w:rPr>
          <w:rFonts w:ascii="Times New Roman" w:eastAsia="Times New Roman" w:hAnsi="Times New Roman" w:cs="Times New Roman"/>
          <w:color w:val="000000"/>
          <w:sz w:val="24"/>
          <w:szCs w:val="24"/>
        </w:rPr>
        <w:t xml:space="preserve"> (Order types to consider: market order, limit order, stop loss order)</w:t>
      </w: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Default="00B438AD"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33408" w:rsidRP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165D2A" w:rsidRPr="00733408" w:rsidRDefault="00165D2A" w:rsidP="00733408">
      <w:pPr>
        <w:pStyle w:val="ListParagraph"/>
        <w:shd w:val="clear" w:color="auto" w:fill="FFFFFF"/>
        <w:spacing w:after="0" w:line="240" w:lineRule="auto"/>
        <w:jc w:val="both"/>
        <w:outlineLvl w:val="0"/>
        <w:rPr>
          <w:rFonts w:ascii="Times New Roman" w:eastAsia="Times New Roman" w:hAnsi="Times New Roman" w:cs="Times New Roman"/>
          <w:color w:val="000000"/>
          <w:sz w:val="24"/>
          <w:szCs w:val="24"/>
        </w:rPr>
      </w:pPr>
      <w:r w:rsidRPr="00733408">
        <w:rPr>
          <w:rFonts w:ascii="Times New Roman" w:eastAsia="Times New Roman" w:hAnsi="Times New Roman" w:cs="Times New Roman"/>
          <w:color w:val="000000"/>
          <w:sz w:val="24"/>
          <w:szCs w:val="24"/>
        </w:rPr>
        <w:t xml:space="preserve"> </w:t>
      </w:r>
    </w:p>
    <w:p w:rsidR="00B85D8D" w:rsidRPr="00B85D8D" w:rsidRDefault="00B85D8D" w:rsidP="005C6274">
      <w:pPr>
        <w:pStyle w:val="ListParagraph"/>
        <w:numPr>
          <w:ilvl w:val="0"/>
          <w:numId w:val="1"/>
        </w:numPr>
        <w:shd w:val="clear" w:color="auto" w:fill="FFFFFF"/>
        <w:spacing w:after="0" w:line="240" w:lineRule="auto"/>
        <w:ind w:left="0"/>
        <w:jc w:val="both"/>
        <w:outlineLvl w:val="0"/>
        <w:rPr>
          <w:rFonts w:ascii="Times New Roman" w:hAnsi="Times New Roman" w:cs="Times New Roman"/>
          <w:color w:val="000000"/>
          <w:sz w:val="24"/>
          <w:szCs w:val="24"/>
        </w:rPr>
      </w:pPr>
      <w:r w:rsidRPr="00B85D8D">
        <w:rPr>
          <w:rFonts w:ascii="Times New Roman" w:eastAsia="Times New Roman" w:hAnsi="Times New Roman" w:cs="Times New Roman"/>
          <w:color w:val="000000"/>
          <w:sz w:val="24"/>
          <w:szCs w:val="24"/>
        </w:rPr>
        <w:t>DCPH (</w:t>
      </w:r>
      <w:proofErr w:type="spellStart"/>
      <w:r w:rsidRPr="00B85D8D">
        <w:rPr>
          <w:rFonts w:ascii="Times New Roman" w:eastAsia="Times New Roman" w:hAnsi="Times New Roman" w:cs="Times New Roman"/>
          <w:color w:val="000000"/>
          <w:sz w:val="24"/>
          <w:szCs w:val="24"/>
        </w:rPr>
        <w:t>Deciphera</w:t>
      </w:r>
      <w:proofErr w:type="spellEnd"/>
      <w:r w:rsidRPr="00B85D8D">
        <w:rPr>
          <w:rFonts w:ascii="Times New Roman" w:eastAsia="Times New Roman" w:hAnsi="Times New Roman" w:cs="Times New Roman"/>
          <w:color w:val="000000"/>
          <w:sz w:val="24"/>
          <w:szCs w:val="24"/>
        </w:rPr>
        <w:t xml:space="preserve"> Pharmaceuticals)</w:t>
      </w:r>
      <w:r w:rsidRPr="00B85D8D">
        <w:rPr>
          <w:rFonts w:ascii="Times New Roman" w:hAnsi="Times New Roman" w:cs="Times New Roman"/>
          <w:sz w:val="24"/>
          <w:szCs w:val="24"/>
        </w:rPr>
        <w:t xml:space="preserve"> went </w:t>
      </w:r>
      <w:r>
        <w:rPr>
          <w:rFonts w:ascii="Times New Roman" w:hAnsi="Times New Roman" w:cs="Times New Roman"/>
          <w:sz w:val="24"/>
          <w:szCs w:val="24"/>
        </w:rPr>
        <w:t>public</w:t>
      </w:r>
      <w:r w:rsidRPr="00B85D8D">
        <w:rPr>
          <w:rFonts w:ascii="Times New Roman" w:hAnsi="Times New Roman" w:cs="Times New Roman"/>
          <w:sz w:val="24"/>
          <w:szCs w:val="24"/>
        </w:rPr>
        <w:t xml:space="preserve"> on 9/28.</w:t>
      </w:r>
      <w:r>
        <w:rPr>
          <w:rFonts w:ascii="Times New Roman" w:hAnsi="Times New Roman" w:cs="Times New Roman"/>
          <w:sz w:val="24"/>
          <w:szCs w:val="24"/>
        </w:rPr>
        <w:t xml:space="preserve"> </w:t>
      </w:r>
      <w:proofErr w:type="spellStart"/>
      <w:r w:rsidRPr="00B85D8D">
        <w:rPr>
          <w:rFonts w:ascii="Times New Roman" w:hAnsi="Times New Roman" w:cs="Times New Roman"/>
          <w:color w:val="000000"/>
          <w:sz w:val="24"/>
          <w:szCs w:val="24"/>
        </w:rPr>
        <w:t>Deciphera</w:t>
      </w:r>
      <w:proofErr w:type="spellEnd"/>
      <w:r w:rsidRPr="00B85D8D">
        <w:rPr>
          <w:rFonts w:ascii="Times New Roman" w:hAnsi="Times New Roman" w:cs="Times New Roman"/>
          <w:color w:val="000000"/>
          <w:sz w:val="24"/>
          <w:szCs w:val="24"/>
        </w:rPr>
        <w:t xml:space="preserve"> Pharmaceuticals, Inc. (NASDAQ:</w:t>
      </w:r>
      <w:r>
        <w:rPr>
          <w:rFonts w:ascii="Times New Roman" w:hAnsi="Times New Roman" w:cs="Times New Roman"/>
          <w:color w:val="000000"/>
          <w:sz w:val="24"/>
          <w:szCs w:val="24"/>
        </w:rPr>
        <w:t xml:space="preserve"> </w:t>
      </w:r>
      <w:hyperlink r:id="rId8" w:history="1">
        <w:r w:rsidRPr="00B85D8D">
          <w:rPr>
            <w:rStyle w:val="Hyperlink"/>
            <w:rFonts w:ascii="Times New Roman" w:hAnsi="Times New Roman" w:cs="Times New Roman"/>
            <w:color w:val="165788"/>
            <w:sz w:val="24"/>
            <w:szCs w:val="24"/>
          </w:rPr>
          <w:t>DCPH</w:t>
        </w:r>
      </w:hyperlink>
      <w:r w:rsidRPr="00B85D8D">
        <w:rPr>
          <w:rFonts w:ascii="Times New Roman" w:hAnsi="Times New Roman" w:cs="Times New Roman"/>
          <w:color w:val="000000"/>
          <w:sz w:val="24"/>
          <w:szCs w:val="24"/>
        </w:rPr>
        <w:t xml:space="preserve">), a clinical-stage biopharmaceutical company focused on addressing key mechanisms of tumor drug resistance, today announced the pricing of its initial public offering of 7,500,000 shares of common stock at a public offering price of $17.00 per share for aggregate gross proceeds of $127,500,000. All of the shares of common stock are being offered by </w:t>
      </w:r>
      <w:proofErr w:type="spellStart"/>
      <w:r w:rsidRPr="00B85D8D">
        <w:rPr>
          <w:rFonts w:ascii="Times New Roman" w:hAnsi="Times New Roman" w:cs="Times New Roman"/>
          <w:color w:val="000000"/>
          <w:sz w:val="24"/>
          <w:szCs w:val="24"/>
        </w:rPr>
        <w:t>Deciphera</w:t>
      </w:r>
      <w:proofErr w:type="spellEnd"/>
      <w:r w:rsidRPr="00B85D8D">
        <w:rPr>
          <w:rFonts w:ascii="Times New Roman" w:hAnsi="Times New Roman" w:cs="Times New Roman"/>
          <w:color w:val="000000"/>
          <w:sz w:val="24"/>
          <w:szCs w:val="24"/>
        </w:rPr>
        <w:t xml:space="preserve">. In addition, </w:t>
      </w:r>
      <w:proofErr w:type="spellStart"/>
      <w:r w:rsidRPr="00B85D8D">
        <w:rPr>
          <w:rFonts w:ascii="Times New Roman" w:hAnsi="Times New Roman" w:cs="Times New Roman"/>
          <w:color w:val="000000"/>
          <w:sz w:val="24"/>
          <w:szCs w:val="24"/>
        </w:rPr>
        <w:t>Deciphera</w:t>
      </w:r>
      <w:proofErr w:type="spellEnd"/>
      <w:r w:rsidRPr="00B85D8D">
        <w:rPr>
          <w:rFonts w:ascii="Times New Roman" w:hAnsi="Times New Roman" w:cs="Times New Roman"/>
          <w:color w:val="000000"/>
          <w:sz w:val="24"/>
          <w:szCs w:val="24"/>
        </w:rPr>
        <w:t xml:space="preserve"> granted the underwriters a 30-day option to purchase up to 1,125,000 additional shares of its common stock at the initial public offering price. The shares </w:t>
      </w:r>
      <w:r w:rsidRPr="00B85D8D">
        <w:rPr>
          <w:rFonts w:ascii="Times New Roman" w:hAnsi="Times New Roman" w:cs="Times New Roman"/>
          <w:color w:val="000000"/>
          <w:sz w:val="24"/>
          <w:szCs w:val="24"/>
        </w:rPr>
        <w:lastRenderedPageBreak/>
        <w:t>are scheduled to begin trading on the NASDAQ Global Select Market on September 28, 2017 under the ticker symbol “DCPH.” The offering is expected to close on October 2, 2017, subject to customary closing conditions.</w:t>
      </w:r>
    </w:p>
    <w:p w:rsidR="00B85D8D" w:rsidRDefault="00B85D8D" w:rsidP="005C6274">
      <w:pPr>
        <w:pStyle w:val="NormalWeb"/>
        <w:shd w:val="clear" w:color="auto" w:fill="FFFFFF"/>
        <w:spacing w:before="0" w:beforeAutospacing="0" w:after="0" w:afterAutospacing="0"/>
        <w:rPr>
          <w:color w:val="000000"/>
        </w:rPr>
      </w:pPr>
      <w:r w:rsidRPr="00B85D8D">
        <w:rPr>
          <w:color w:val="000000"/>
        </w:rPr>
        <w:t xml:space="preserve">J.P. Morgan and Piper </w:t>
      </w:r>
      <w:proofErr w:type="spellStart"/>
      <w:r w:rsidRPr="00B85D8D">
        <w:rPr>
          <w:color w:val="000000"/>
        </w:rPr>
        <w:t>Jaffray</w:t>
      </w:r>
      <w:proofErr w:type="spellEnd"/>
      <w:r w:rsidRPr="00B85D8D">
        <w:rPr>
          <w:color w:val="000000"/>
        </w:rPr>
        <w:t xml:space="preserve"> &amp; Co. are acting as joint book-running managers for the offering. JMP Securities LLC is acting as lead manager and Nomura Securities International, Inc. is acting as a co-manager for the offering.</w:t>
      </w:r>
    </w:p>
    <w:p w:rsidR="00B85D8D" w:rsidRPr="00B85D8D" w:rsidRDefault="00B85D8D" w:rsidP="005C6274">
      <w:pPr>
        <w:pStyle w:val="NormalWeb"/>
        <w:shd w:val="clear" w:color="auto" w:fill="FFFFFF"/>
        <w:spacing w:before="0" w:beforeAutospacing="0" w:after="0" w:afterAutospacing="0"/>
        <w:rPr>
          <w:color w:val="000000"/>
        </w:rPr>
      </w:pPr>
      <w:r>
        <w:rPr>
          <w:color w:val="000000"/>
        </w:rPr>
        <w:t>As of 10/7/2017, the stock price of DCPH is $22.91/share</w:t>
      </w:r>
      <w:r w:rsidR="005C6274">
        <w:rPr>
          <w:color w:val="000000"/>
        </w:rPr>
        <w:t xml:space="preserve">. The offering price at IPO was $17, </w:t>
      </w:r>
      <w:r>
        <w:rPr>
          <w:color w:val="000000"/>
        </w:rPr>
        <w:t xml:space="preserve">a </w:t>
      </w:r>
      <w:r w:rsidR="005C6274">
        <w:rPr>
          <w:color w:val="000000"/>
        </w:rPr>
        <w:t xml:space="preserve">return of 29.41% in a short period of time. </w:t>
      </w:r>
      <w:r>
        <w:rPr>
          <w:color w:val="000000"/>
        </w:rPr>
        <w:t xml:space="preserve"> </w:t>
      </w:r>
      <w:r w:rsidR="005C6274">
        <w:rPr>
          <w:color w:val="000000"/>
        </w:rPr>
        <w:t xml:space="preserve">JP Morgan is one of the underwriters. Why did not JP Morgan set the price right at the IPO, such as at $22 per share? Why do they leave money on the table? Is that cheating? </w:t>
      </w:r>
    </w:p>
    <w:p w:rsidR="00B85D8D" w:rsidRPr="00B85D8D" w:rsidRDefault="00B85D8D" w:rsidP="00B85D8D">
      <w:pPr>
        <w:pStyle w:val="ListParagraph"/>
        <w:shd w:val="clear" w:color="auto" w:fill="FFFFFF"/>
        <w:spacing w:after="0" w:line="240" w:lineRule="auto"/>
        <w:jc w:val="both"/>
        <w:outlineLvl w:val="0"/>
        <w:rPr>
          <w:rFonts w:ascii="Times New Roman" w:eastAsia="Times New Roman" w:hAnsi="Times New Roman" w:cs="Times New Roman"/>
          <w:color w:val="000000"/>
          <w:sz w:val="24"/>
          <w:szCs w:val="24"/>
        </w:rPr>
      </w:pPr>
      <w:r w:rsidRPr="00B85D8D">
        <w:rPr>
          <w:rFonts w:ascii="Times New Roman" w:eastAsia="Times New Roman" w:hAnsi="Times New Roman" w:cs="Times New Roman"/>
          <w:color w:val="000000"/>
          <w:sz w:val="24"/>
          <w:szCs w:val="24"/>
        </w:rPr>
        <w:t>Refer to the follow</w:t>
      </w:r>
      <w:r w:rsidR="005C6274">
        <w:rPr>
          <w:rFonts w:ascii="Times New Roman" w:eastAsia="Times New Roman" w:hAnsi="Times New Roman" w:cs="Times New Roman"/>
          <w:color w:val="000000"/>
          <w:sz w:val="24"/>
          <w:szCs w:val="24"/>
        </w:rPr>
        <w:t xml:space="preserve">ing stock price chart for price information. </w:t>
      </w:r>
    </w:p>
    <w:p w:rsidR="00733408" w:rsidRDefault="00B85D8D"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r>
        <w:rPr>
          <w:noProof/>
          <w:lang w:eastAsia="zh-CN"/>
        </w:rPr>
        <w:drawing>
          <wp:inline distT="0" distB="0" distL="0" distR="0">
            <wp:extent cx="3895725" cy="2664676"/>
            <wp:effectExtent l="19050" t="0" r="9525" b="0"/>
            <wp:docPr id="2" name="Picture 1" descr="https://finance.google.com/finance/getchart?q=DCPH&amp;x=NASD&amp;p=1M&amp;i=86400&amp;ei=dVXZWbnDG8OCeKD-t_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ance.google.com/finance/getchart?q=DCPH&amp;x=NASD&amp;p=1M&amp;i=86400&amp;ei=dVXZWbnDG8OCeKD-t_gM"/>
                    <pic:cNvPicPr>
                      <a:picLocks noChangeAspect="1" noChangeArrowheads="1"/>
                    </pic:cNvPicPr>
                  </pic:nvPicPr>
                  <pic:blipFill>
                    <a:blip r:embed="rId9" cstate="print"/>
                    <a:srcRect/>
                    <a:stretch>
                      <a:fillRect/>
                    </a:stretch>
                  </pic:blipFill>
                  <pic:spPr bwMode="auto">
                    <a:xfrm>
                      <a:off x="0" y="0"/>
                      <a:ext cx="3895725" cy="2664676"/>
                    </a:xfrm>
                    <a:prstGeom prst="rect">
                      <a:avLst/>
                    </a:prstGeom>
                    <a:noFill/>
                    <a:ln w="9525">
                      <a:noFill/>
                      <a:miter lim="800000"/>
                      <a:headEnd/>
                      <a:tailEnd/>
                    </a:ln>
                  </pic:spPr>
                </pic:pic>
              </a:graphicData>
            </a:graphic>
          </wp:inline>
        </w:drawing>
      </w: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733408" w:rsidRPr="00733408" w:rsidRDefault="00733408" w:rsidP="00733408">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A6243B" w:rsidRPr="00A6243B" w:rsidRDefault="00A6243B" w:rsidP="00E24339">
      <w:pPr>
        <w:pStyle w:val="ListParagraph"/>
        <w:rPr>
          <w:rFonts w:ascii="Times New Roman" w:hAnsi="Times New Roman" w:cs="Times New Roman"/>
          <w:color w:val="000000"/>
          <w:sz w:val="24"/>
          <w:szCs w:val="24"/>
        </w:rPr>
      </w:pPr>
      <w:r w:rsidRPr="00A6243B">
        <w:rPr>
          <w:rFonts w:ascii="Times New Roman" w:hAnsi="Times New Roman" w:cs="Times New Roman"/>
          <w:color w:val="000000"/>
          <w:sz w:val="24"/>
          <w:szCs w:val="24"/>
        </w:rPr>
        <w:t xml:space="preserve">10. “A basic principle of U.S. stock exchanges is that the first investor to place an order at the best current price generally should be the one whose order is filled first.” Refer to the article “How ‘hide not slide’ orders work” and answer why </w:t>
      </w:r>
      <w:r>
        <w:rPr>
          <w:rFonts w:ascii="Times New Roman" w:hAnsi="Times New Roman" w:cs="Times New Roman"/>
          <w:color w:val="000000"/>
          <w:sz w:val="24"/>
          <w:szCs w:val="24"/>
        </w:rPr>
        <w:t xml:space="preserve">using </w:t>
      </w:r>
      <w:r w:rsidRPr="00A6243B">
        <w:rPr>
          <w:rFonts w:ascii="Times New Roman" w:hAnsi="Times New Roman" w:cs="Times New Roman"/>
          <w:color w:val="000000"/>
          <w:sz w:val="24"/>
          <w:szCs w:val="24"/>
        </w:rPr>
        <w:t xml:space="preserve">‘hide not slide’ orders </w:t>
      </w:r>
      <w:r>
        <w:rPr>
          <w:rFonts w:ascii="Times New Roman" w:hAnsi="Times New Roman" w:cs="Times New Roman"/>
          <w:color w:val="000000"/>
          <w:sz w:val="24"/>
          <w:szCs w:val="24"/>
        </w:rPr>
        <w:t xml:space="preserve">can </w:t>
      </w:r>
      <w:r w:rsidRPr="00A6243B">
        <w:rPr>
          <w:rFonts w:ascii="Times New Roman" w:hAnsi="Times New Roman" w:cs="Times New Roman"/>
          <w:color w:val="000000"/>
          <w:sz w:val="24"/>
          <w:szCs w:val="24"/>
        </w:rPr>
        <w:t>violate this SEC rule</w:t>
      </w:r>
      <w:r>
        <w:rPr>
          <w:rFonts w:ascii="Times New Roman" w:hAnsi="Times New Roman" w:cs="Times New Roman"/>
          <w:color w:val="000000"/>
          <w:sz w:val="24"/>
          <w:szCs w:val="24"/>
        </w:rPr>
        <w:t xml:space="preserve">. </w:t>
      </w:r>
    </w:p>
    <w:p w:rsidR="00A6243B" w:rsidRPr="00A6243B" w:rsidRDefault="00A6243B" w:rsidP="00E24339">
      <w:pPr>
        <w:pStyle w:val="ListParagraph"/>
        <w:rPr>
          <w:rFonts w:ascii="Times New Roman" w:hAnsi="Times New Roman" w:cs="Times New Roman"/>
          <w:color w:val="000000"/>
          <w:sz w:val="24"/>
          <w:szCs w:val="24"/>
        </w:rPr>
      </w:pPr>
    </w:p>
    <w:p w:rsidR="0031770B" w:rsidRPr="00A6243B" w:rsidRDefault="00A6243B" w:rsidP="00E24339">
      <w:pPr>
        <w:pStyle w:val="ListParagraph"/>
        <w:rPr>
          <w:rFonts w:ascii="Times New Roman" w:hAnsi="Times New Roman" w:cs="Times New Roman"/>
          <w:sz w:val="24"/>
          <w:szCs w:val="24"/>
        </w:rPr>
      </w:pPr>
      <w:r w:rsidRPr="00A6243B">
        <w:rPr>
          <w:rFonts w:ascii="Times New Roman" w:hAnsi="Times New Roman" w:cs="Times New Roman"/>
          <w:b/>
          <w:bCs/>
          <w:i/>
          <w:iCs/>
          <w:color w:val="000000"/>
          <w:sz w:val="24"/>
          <w:szCs w:val="24"/>
          <w:u w:val="single"/>
        </w:rPr>
        <w:t xml:space="preserve"> </w:t>
      </w:r>
    </w:p>
    <w:sectPr w:rsidR="0031770B" w:rsidRPr="00A6243B" w:rsidSect="00EA3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0000000" w:usb2="0100040E"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3775"/>
    <w:multiLevelType w:val="hybridMultilevel"/>
    <w:tmpl w:val="1044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43151"/>
    <w:multiLevelType w:val="hybridMultilevel"/>
    <w:tmpl w:val="E6BC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435"/>
    <w:rsid w:val="000212F7"/>
    <w:rsid w:val="00165D2A"/>
    <w:rsid w:val="001D2F58"/>
    <w:rsid w:val="00306C9A"/>
    <w:rsid w:val="0031770B"/>
    <w:rsid w:val="00472009"/>
    <w:rsid w:val="00497E0A"/>
    <w:rsid w:val="005C6274"/>
    <w:rsid w:val="006A0435"/>
    <w:rsid w:val="006C5BFE"/>
    <w:rsid w:val="00733408"/>
    <w:rsid w:val="00913054"/>
    <w:rsid w:val="00970D1C"/>
    <w:rsid w:val="00A162CC"/>
    <w:rsid w:val="00A6243B"/>
    <w:rsid w:val="00AE0E11"/>
    <w:rsid w:val="00B147E0"/>
    <w:rsid w:val="00B438AD"/>
    <w:rsid w:val="00B85D8D"/>
    <w:rsid w:val="00C41485"/>
    <w:rsid w:val="00E24339"/>
    <w:rsid w:val="00EA3FAA"/>
    <w:rsid w:val="00F17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AA"/>
  </w:style>
  <w:style w:type="paragraph" w:styleId="Heading1">
    <w:name w:val="heading 1"/>
    <w:basedOn w:val="Normal"/>
    <w:link w:val="Heading1Char"/>
    <w:uiPriority w:val="9"/>
    <w:qFormat/>
    <w:rsid w:val="001D2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35"/>
    <w:pPr>
      <w:ind w:left="720"/>
      <w:contextualSpacing/>
    </w:pPr>
  </w:style>
  <w:style w:type="character" w:customStyle="1" w:styleId="grame">
    <w:name w:val="grame"/>
    <w:basedOn w:val="DefaultParagraphFont"/>
    <w:rsid w:val="006A0435"/>
  </w:style>
  <w:style w:type="character" w:customStyle="1" w:styleId="Heading1Char">
    <w:name w:val="Heading 1 Char"/>
    <w:basedOn w:val="DefaultParagraphFont"/>
    <w:link w:val="Heading1"/>
    <w:uiPriority w:val="9"/>
    <w:rsid w:val="001D2F58"/>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1D2F58"/>
  </w:style>
  <w:style w:type="paragraph" w:styleId="NormalWeb">
    <w:name w:val="Normal (Web)"/>
    <w:basedOn w:val="Normal"/>
    <w:uiPriority w:val="99"/>
    <w:semiHidden/>
    <w:unhideWhenUsed/>
    <w:rsid w:val="009130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913054"/>
  </w:style>
  <w:style w:type="character" w:customStyle="1" w:styleId="spelle">
    <w:name w:val="spelle"/>
    <w:basedOn w:val="DefaultParagraphFont"/>
    <w:rsid w:val="00913054"/>
  </w:style>
  <w:style w:type="character" w:styleId="Hyperlink">
    <w:name w:val="Hyperlink"/>
    <w:basedOn w:val="DefaultParagraphFont"/>
    <w:uiPriority w:val="99"/>
    <w:semiHidden/>
    <w:unhideWhenUsed/>
    <w:rsid w:val="00913054"/>
    <w:rPr>
      <w:color w:val="0000FF"/>
      <w:u w:val="single"/>
    </w:rPr>
  </w:style>
  <w:style w:type="paragraph" w:styleId="BalloonText">
    <w:name w:val="Balloon Text"/>
    <w:basedOn w:val="Normal"/>
    <w:link w:val="BalloonTextChar"/>
    <w:uiPriority w:val="99"/>
    <w:semiHidden/>
    <w:unhideWhenUsed/>
    <w:rsid w:val="0091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54"/>
    <w:rPr>
      <w:rFonts w:ascii="Tahoma" w:hAnsi="Tahoma" w:cs="Tahoma"/>
      <w:sz w:val="16"/>
      <w:szCs w:val="16"/>
    </w:rPr>
  </w:style>
  <w:style w:type="character" w:styleId="Emphasis">
    <w:name w:val="Emphasis"/>
    <w:basedOn w:val="DefaultParagraphFont"/>
    <w:uiPriority w:val="20"/>
    <w:qFormat/>
    <w:rsid w:val="00B438AD"/>
    <w:rPr>
      <w:i/>
      <w:iCs/>
    </w:rPr>
  </w:style>
</w:styles>
</file>

<file path=word/webSettings.xml><?xml version="1.0" encoding="utf-8"?>
<w:webSettings xmlns:r="http://schemas.openxmlformats.org/officeDocument/2006/relationships" xmlns:w="http://schemas.openxmlformats.org/wordprocessingml/2006/main">
  <w:divs>
    <w:div w:id="128012788">
      <w:bodyDiv w:val="1"/>
      <w:marLeft w:val="0"/>
      <w:marRight w:val="0"/>
      <w:marTop w:val="0"/>
      <w:marBottom w:val="0"/>
      <w:divBdr>
        <w:top w:val="none" w:sz="0" w:space="0" w:color="auto"/>
        <w:left w:val="none" w:sz="0" w:space="0" w:color="auto"/>
        <w:bottom w:val="none" w:sz="0" w:space="0" w:color="auto"/>
        <w:right w:val="none" w:sz="0" w:space="0" w:color="auto"/>
      </w:divBdr>
    </w:div>
    <w:div w:id="483399521">
      <w:bodyDiv w:val="1"/>
      <w:marLeft w:val="0"/>
      <w:marRight w:val="0"/>
      <w:marTop w:val="0"/>
      <w:marBottom w:val="0"/>
      <w:divBdr>
        <w:top w:val="none" w:sz="0" w:space="0" w:color="auto"/>
        <w:left w:val="none" w:sz="0" w:space="0" w:color="auto"/>
        <w:bottom w:val="none" w:sz="0" w:space="0" w:color="auto"/>
        <w:right w:val="none" w:sz="0" w:space="0" w:color="auto"/>
      </w:divBdr>
    </w:div>
    <w:div w:id="1131165101">
      <w:bodyDiv w:val="1"/>
      <w:marLeft w:val="0"/>
      <w:marRight w:val="0"/>
      <w:marTop w:val="0"/>
      <w:marBottom w:val="0"/>
      <w:divBdr>
        <w:top w:val="none" w:sz="0" w:space="0" w:color="auto"/>
        <w:left w:val="none" w:sz="0" w:space="0" w:color="auto"/>
        <w:bottom w:val="none" w:sz="0" w:space="0" w:color="auto"/>
        <w:right w:val="none" w:sz="0" w:space="0" w:color="auto"/>
      </w:divBdr>
    </w:div>
    <w:div w:id="1372531079">
      <w:bodyDiv w:val="1"/>
      <w:marLeft w:val="0"/>
      <w:marRight w:val="0"/>
      <w:marTop w:val="0"/>
      <w:marBottom w:val="0"/>
      <w:divBdr>
        <w:top w:val="none" w:sz="0" w:space="0" w:color="auto"/>
        <w:left w:val="none" w:sz="0" w:space="0" w:color="auto"/>
        <w:bottom w:val="none" w:sz="0" w:space="0" w:color="auto"/>
        <w:right w:val="none" w:sz="0" w:space="0" w:color="auto"/>
      </w:divBdr>
    </w:div>
    <w:div w:id="1633827761">
      <w:bodyDiv w:val="1"/>
      <w:marLeft w:val="0"/>
      <w:marRight w:val="0"/>
      <w:marTop w:val="0"/>
      <w:marBottom w:val="0"/>
      <w:divBdr>
        <w:top w:val="none" w:sz="0" w:space="0" w:color="auto"/>
        <w:left w:val="none" w:sz="0" w:space="0" w:color="auto"/>
        <w:bottom w:val="none" w:sz="0" w:space="0" w:color="auto"/>
        <w:right w:val="none" w:sz="0" w:space="0" w:color="auto"/>
      </w:divBdr>
    </w:div>
    <w:div w:id="18062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enewswire.com/News/Listing?symbol=DCPH&amp;exchange=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Maggie</dc:creator>
  <cp:lastModifiedBy>maggie</cp:lastModifiedBy>
  <cp:revision>2</cp:revision>
  <dcterms:created xsi:type="dcterms:W3CDTF">2018-09-20T05:51:00Z</dcterms:created>
  <dcterms:modified xsi:type="dcterms:W3CDTF">2018-09-20T05:51:00Z</dcterms:modified>
</cp:coreProperties>
</file>