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26" w:rsidRPr="00E312E1" w:rsidRDefault="00B96326" w:rsidP="00B96326">
      <w:pPr>
        <w:pStyle w:val="Heading1"/>
        <w:spacing w:before="0" w:beforeAutospacing="0" w:after="0" w:afterAutospacing="0"/>
        <w:textAlignment w:val="baseline"/>
        <w:rPr>
          <w:sz w:val="36"/>
          <w:szCs w:val="36"/>
        </w:rPr>
      </w:pPr>
      <w:r w:rsidRPr="00E312E1">
        <w:rPr>
          <w:sz w:val="36"/>
          <w:szCs w:val="36"/>
        </w:rPr>
        <w:t xml:space="preserve">What’s </w:t>
      </w:r>
      <w:proofErr w:type="gramStart"/>
      <w:r w:rsidRPr="00E312E1">
        <w:rPr>
          <w:sz w:val="36"/>
          <w:szCs w:val="36"/>
        </w:rPr>
        <w:t>Going</w:t>
      </w:r>
      <w:proofErr w:type="gramEnd"/>
      <w:r w:rsidRPr="00E312E1">
        <w:rPr>
          <w:sz w:val="36"/>
          <w:szCs w:val="36"/>
        </w:rPr>
        <w:t xml:space="preserve"> On in the Markets? 5 Theories to Explain the Chaos</w:t>
      </w:r>
    </w:p>
    <w:p w:rsidR="00B96326" w:rsidRDefault="00B96326" w:rsidP="00B96326">
      <w:pPr>
        <w:pStyle w:val="Heading2"/>
        <w:spacing w:before="0" w:beforeAutospacing="0" w:after="0" w:afterAutospacing="0"/>
        <w:textAlignment w:val="baseline"/>
        <w:rPr>
          <w:rFonts w:ascii="Arial" w:hAnsi="Arial" w:cs="Arial"/>
          <w:b w:val="0"/>
          <w:bCs w:val="0"/>
          <w:color w:val="666666"/>
          <w:spacing w:val="-2"/>
          <w:sz w:val="34"/>
          <w:szCs w:val="34"/>
        </w:rPr>
      </w:pPr>
      <w:r>
        <w:rPr>
          <w:rFonts w:ascii="Arial" w:hAnsi="Arial" w:cs="Arial"/>
          <w:b w:val="0"/>
          <w:bCs w:val="0"/>
          <w:color w:val="666666"/>
          <w:spacing w:val="-2"/>
          <w:sz w:val="34"/>
          <w:szCs w:val="34"/>
        </w:rPr>
        <w:t>Fast money, China’s currency and oil prices are among factors influencing markets</w:t>
      </w:r>
    </w:p>
    <w:p w:rsidR="00B96326" w:rsidRDefault="00B96326" w:rsidP="00B96326">
      <w:pPr>
        <w:shd w:val="clear" w:color="auto" w:fill="FFFFFF"/>
        <w:spacing w:after="0" w:line="240" w:lineRule="auto"/>
        <w:textAlignment w:val="baseline"/>
        <w:rPr>
          <w:rFonts w:ascii="Arial" w:hAnsi="Arial" w:cs="Arial"/>
          <w:color w:val="666666"/>
        </w:rPr>
      </w:pPr>
      <w:r>
        <w:rPr>
          <w:rFonts w:ascii="Arial" w:hAnsi="Arial" w:cs="Arial"/>
          <w:color w:val="666666"/>
        </w:rPr>
        <w:t xml:space="preserve">A wave of selling slams global markets as a fresh fall in oil prices and a cautious tone from the Federal Reserve fuels anxiety. WSJ's </w:t>
      </w:r>
      <w:proofErr w:type="spellStart"/>
      <w:r>
        <w:rPr>
          <w:rFonts w:ascii="Arial" w:hAnsi="Arial" w:cs="Arial"/>
          <w:color w:val="666666"/>
        </w:rPr>
        <w:t>Saumya</w:t>
      </w:r>
      <w:proofErr w:type="spellEnd"/>
      <w:r>
        <w:rPr>
          <w:rFonts w:ascii="Arial" w:hAnsi="Arial" w:cs="Arial"/>
          <w:color w:val="666666"/>
        </w:rPr>
        <w:t xml:space="preserve"> </w:t>
      </w:r>
      <w:proofErr w:type="spellStart"/>
      <w:r>
        <w:rPr>
          <w:rFonts w:ascii="Arial" w:hAnsi="Arial" w:cs="Arial"/>
          <w:color w:val="666666"/>
        </w:rPr>
        <w:t>Vaishampayan</w:t>
      </w:r>
      <w:proofErr w:type="spellEnd"/>
      <w:r>
        <w:rPr>
          <w:rFonts w:ascii="Arial" w:hAnsi="Arial" w:cs="Arial"/>
          <w:color w:val="666666"/>
        </w:rPr>
        <w:t xml:space="preserve"> discusses several theories about what's causing the market volatility. Photo: Getty</w:t>
      </w:r>
    </w:p>
    <w:p w:rsidR="00B96326" w:rsidRDefault="00B96326" w:rsidP="00B96326">
      <w:pPr>
        <w:spacing w:after="0" w:line="240" w:lineRule="auto"/>
        <w:textAlignment w:val="baseline"/>
        <w:rPr>
          <w:rFonts w:ascii="Arial" w:hAnsi="Arial" w:cs="Arial"/>
          <w:color w:val="333333"/>
          <w:sz w:val="23"/>
          <w:szCs w:val="23"/>
        </w:rPr>
      </w:pPr>
      <w:r>
        <w:rPr>
          <w:rFonts w:ascii="Arial" w:hAnsi="Arial" w:cs="Arial"/>
          <w:color w:val="666666"/>
          <w:sz w:val="23"/>
          <w:szCs w:val="23"/>
          <w:bdr w:val="none" w:sz="0" w:space="0" w:color="auto" w:frame="1"/>
        </w:rPr>
        <w:t>By</w:t>
      </w:r>
      <w:r>
        <w:rPr>
          <w:rStyle w:val="apple-converted-space"/>
          <w:rFonts w:ascii="Arial" w:hAnsi="Arial" w:cs="Arial"/>
          <w:color w:val="333333"/>
          <w:sz w:val="23"/>
          <w:szCs w:val="23"/>
        </w:rPr>
        <w:t> </w:t>
      </w:r>
    </w:p>
    <w:p w:rsidR="00B96326" w:rsidRDefault="00B96326" w:rsidP="00B96326">
      <w:pPr>
        <w:spacing w:after="0" w:line="240" w:lineRule="auto"/>
        <w:textAlignment w:val="baseline"/>
        <w:rPr>
          <w:rFonts w:ascii="Arial" w:hAnsi="Arial" w:cs="Arial"/>
          <w:color w:val="666666"/>
          <w:sz w:val="23"/>
          <w:szCs w:val="23"/>
        </w:rPr>
      </w:pPr>
      <w:r>
        <w:rPr>
          <w:rStyle w:val="name"/>
          <w:rFonts w:ascii="Arial" w:hAnsi="Arial" w:cs="Arial"/>
          <w:b/>
          <w:bCs/>
          <w:caps/>
          <w:color w:val="0080C3"/>
          <w:sz w:val="23"/>
          <w:szCs w:val="23"/>
          <w:bdr w:val="none" w:sz="0" w:space="0" w:color="auto" w:frame="1"/>
        </w:rPr>
        <w:t>SAUMYA VAISHAMPAYAN</w:t>
      </w:r>
    </w:p>
    <w:p w:rsidR="00B96326" w:rsidRDefault="00B96326" w:rsidP="00B96326">
      <w:pPr>
        <w:spacing w:after="0" w:line="240" w:lineRule="auto"/>
        <w:textAlignment w:val="baseline"/>
        <w:rPr>
          <w:rFonts w:ascii="Arial" w:hAnsi="Arial" w:cs="Arial"/>
          <w:color w:val="333333"/>
          <w:sz w:val="17"/>
          <w:szCs w:val="17"/>
        </w:rPr>
      </w:pPr>
      <w:r>
        <w:rPr>
          <w:rFonts w:ascii="Arial" w:hAnsi="Arial" w:cs="Arial"/>
          <w:color w:val="333333"/>
          <w:sz w:val="17"/>
          <w:szCs w:val="17"/>
        </w:rPr>
        <w:t>Updated Feb. 10, 2016 11:58 p.m. ET</w:t>
      </w:r>
    </w:p>
    <w:p w:rsidR="00B96326" w:rsidRDefault="00952C9C" w:rsidP="00B96326">
      <w:pPr>
        <w:spacing w:after="0" w:line="240" w:lineRule="auto"/>
        <w:textAlignment w:val="baseline"/>
        <w:rPr>
          <w:rFonts w:ascii="Arial" w:hAnsi="Arial" w:cs="Arial"/>
          <w:color w:val="333333"/>
          <w:sz w:val="17"/>
          <w:szCs w:val="17"/>
        </w:rPr>
      </w:pPr>
      <w:hyperlink r:id="rId5" w:anchor="livefyre-comment" w:history="1"/>
      <w:r w:rsidR="00B96326">
        <w:rPr>
          <w:rFonts w:ascii="Arial" w:hAnsi="Arial" w:cs="Arial"/>
          <w:color w:val="333333"/>
          <w:sz w:val="17"/>
          <w:szCs w:val="17"/>
        </w:rPr>
        <w:t xml:space="preserve"> </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Rising volatility this year in stocks, bonds, currencies and commodities has left investors scrambling to figure out what’s going on.</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Market turbulence has further intensified this week, with</w:t>
      </w:r>
      <w:r>
        <w:rPr>
          <w:rStyle w:val="apple-converted-space"/>
          <w:color w:val="333333"/>
          <w:sz w:val="27"/>
          <w:szCs w:val="27"/>
        </w:rPr>
        <w:t> </w:t>
      </w:r>
      <w:hyperlink r:id="rId6" w:tgtFrame="_self" w:history="1">
        <w:r>
          <w:rPr>
            <w:rStyle w:val="Hyperlink"/>
            <w:color w:val="0080C3"/>
            <w:sz w:val="27"/>
            <w:szCs w:val="27"/>
          </w:rPr>
          <w:t>stocks around the world suffering sharp selloffs</w:t>
        </w:r>
      </w:hyperlink>
      <w:r>
        <w:rPr>
          <w:color w:val="333333"/>
          <w:sz w:val="27"/>
          <w:szCs w:val="27"/>
        </w:rPr>
        <w:t>.</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As investors and analysts search for reasons for the global volatility, what seems plausible one day is quickly disqualified when the market veers in the other direction.</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It wasn’t long ago that</w:t>
      </w:r>
      <w:r>
        <w:rPr>
          <w:rStyle w:val="apple-converted-space"/>
          <w:color w:val="333333"/>
          <w:sz w:val="27"/>
          <w:szCs w:val="27"/>
        </w:rPr>
        <w:t> </w:t>
      </w:r>
      <w:hyperlink r:id="rId7" w:tgtFrame="_self" w:history="1">
        <w:r>
          <w:rPr>
            <w:rStyle w:val="Hyperlink"/>
            <w:color w:val="0080C3"/>
            <w:sz w:val="27"/>
            <w:szCs w:val="27"/>
          </w:rPr>
          <w:t>the plunge in oil prices</w:t>
        </w:r>
      </w:hyperlink>
      <w:r>
        <w:rPr>
          <w:rStyle w:val="apple-converted-space"/>
          <w:color w:val="333333"/>
          <w:sz w:val="27"/>
          <w:szCs w:val="27"/>
        </w:rPr>
        <w:t> </w:t>
      </w:r>
      <w:r>
        <w:rPr>
          <w:color w:val="333333"/>
          <w:sz w:val="27"/>
          <w:szCs w:val="27"/>
        </w:rPr>
        <w:t>seemed to be the biggest factor driving down equity indexes. But now the S&amp;P 500 is down more this year than its energy subsector, both declines dwarfed by the plunge in financial shares.</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 xml:space="preserve">Finding a widely accepted, overarching thesis has proved elusive, leading to the rise of multiple, competing, </w:t>
      </w:r>
      <w:proofErr w:type="gramStart"/>
      <w:r>
        <w:rPr>
          <w:color w:val="333333"/>
          <w:sz w:val="27"/>
          <w:szCs w:val="27"/>
        </w:rPr>
        <w:t>largely</w:t>
      </w:r>
      <w:proofErr w:type="gramEnd"/>
      <w:r>
        <w:rPr>
          <w:color w:val="333333"/>
          <w:sz w:val="27"/>
          <w:szCs w:val="27"/>
        </w:rPr>
        <w:t xml:space="preserve"> unsatisfactory explanations. Yet analysts and traders keep searching, hoping to devise a road map for the peaks and valleys that lie ahead.</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“There’s a confluence of bad news around the world that really shakes investor confidence,” said</w:t>
      </w:r>
      <w:r>
        <w:rPr>
          <w:rStyle w:val="apple-converted-space"/>
          <w:color w:val="333333"/>
          <w:sz w:val="27"/>
          <w:szCs w:val="27"/>
        </w:rPr>
        <w:t> </w:t>
      </w:r>
      <w:r>
        <w:rPr>
          <w:color w:val="333333"/>
          <w:sz w:val="27"/>
          <w:szCs w:val="27"/>
        </w:rPr>
        <w:t>Brad McMillan,</w:t>
      </w:r>
      <w:r>
        <w:rPr>
          <w:rStyle w:val="apple-converted-space"/>
          <w:color w:val="333333"/>
          <w:sz w:val="27"/>
          <w:szCs w:val="27"/>
        </w:rPr>
        <w:t> </w:t>
      </w:r>
      <w:r>
        <w:rPr>
          <w:color w:val="333333"/>
          <w:sz w:val="27"/>
          <w:szCs w:val="27"/>
        </w:rPr>
        <w:t>chief investment officer for Commonwealth Financial Network, which oversees about $100 billion. “This volatility is perceived as being very unusual and scary, which is exacerbating the problem.”</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So what is the best way to explain market moves? Here are five theories:</w:t>
      </w:r>
    </w:p>
    <w:p w:rsidR="00B96326" w:rsidRDefault="00B96326" w:rsidP="00B96326">
      <w:pPr>
        <w:pStyle w:val="Heading4"/>
        <w:spacing w:before="0" w:line="240" w:lineRule="auto"/>
        <w:textAlignment w:val="baseline"/>
        <w:rPr>
          <w:rFonts w:ascii="Arial" w:hAnsi="Arial" w:cs="Arial"/>
          <w:color w:val="333333"/>
          <w:sz w:val="27"/>
          <w:szCs w:val="27"/>
        </w:rPr>
      </w:pPr>
      <w:r>
        <w:rPr>
          <w:rFonts w:ascii="Arial" w:hAnsi="Arial" w:cs="Arial"/>
          <w:color w:val="333333"/>
          <w:sz w:val="27"/>
          <w:szCs w:val="27"/>
        </w:rPr>
        <w:t>Blame the Fast Money</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As the Federal Reserve prepared to</w:t>
      </w:r>
      <w:r>
        <w:rPr>
          <w:rStyle w:val="apple-converted-space"/>
          <w:color w:val="333333"/>
          <w:sz w:val="27"/>
          <w:szCs w:val="27"/>
        </w:rPr>
        <w:t> </w:t>
      </w:r>
      <w:hyperlink r:id="rId8" w:tgtFrame="_self" w:history="1">
        <w:r>
          <w:rPr>
            <w:rStyle w:val="Hyperlink"/>
            <w:color w:val="0080C3"/>
            <w:sz w:val="27"/>
            <w:szCs w:val="27"/>
          </w:rPr>
          <w:t>raise short-term interest rates</w:t>
        </w:r>
      </w:hyperlink>
      <w:r>
        <w:rPr>
          <w:rStyle w:val="apple-converted-space"/>
          <w:color w:val="333333"/>
          <w:sz w:val="27"/>
          <w:szCs w:val="27"/>
        </w:rPr>
        <w:t> </w:t>
      </w:r>
      <w:r>
        <w:rPr>
          <w:color w:val="333333"/>
          <w:sz w:val="27"/>
          <w:szCs w:val="27"/>
        </w:rPr>
        <w:t xml:space="preserve">for much of 2015, investors bet that banks would pocket an expanding difference between what they charge on loans and what they pay on deposits. But financial shares have tumbled this year as investors pivoted to embrace “lower for longer”—a sobering forecast that rates won’t </w:t>
      </w:r>
      <w:proofErr w:type="gramStart"/>
      <w:r>
        <w:rPr>
          <w:color w:val="333333"/>
          <w:sz w:val="27"/>
          <w:szCs w:val="27"/>
        </w:rPr>
        <w:t>rise</w:t>
      </w:r>
      <w:proofErr w:type="gramEnd"/>
      <w:r>
        <w:rPr>
          <w:color w:val="333333"/>
          <w:sz w:val="27"/>
          <w:szCs w:val="27"/>
        </w:rPr>
        <w:t xml:space="preserve"> much for years. The</w:t>
      </w:r>
      <w:r>
        <w:rPr>
          <w:rStyle w:val="apple-converted-space"/>
          <w:color w:val="333333"/>
          <w:sz w:val="27"/>
          <w:szCs w:val="27"/>
        </w:rPr>
        <w:t> </w:t>
      </w:r>
      <w:hyperlink r:id="rId9" w:history="1">
        <w:r>
          <w:rPr>
            <w:rStyle w:val="Hyperlink"/>
            <w:color w:val="0080C3"/>
            <w:sz w:val="27"/>
            <w:szCs w:val="27"/>
          </w:rPr>
          <w:t>Bank of Japan</w:t>
        </w:r>
      </w:hyperlink>
      <w:r>
        <w:rPr>
          <w:rStyle w:val="apple-converted-space"/>
          <w:color w:val="333333"/>
          <w:sz w:val="27"/>
          <w:szCs w:val="27"/>
        </w:rPr>
        <w:t> </w:t>
      </w:r>
      <w:r>
        <w:rPr>
          <w:color w:val="333333"/>
          <w:sz w:val="27"/>
          <w:szCs w:val="27"/>
        </w:rPr>
        <w:t>shocked an already reeling global financial sector when it cut rates into negative territory on Jan. 29.</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The episode highlights both the gloom over the global economy and the whipsaw trading that has developed on major “macro” questions over the past year.</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“The fast money moved into banks at the end of 2015 because they anticipated rate hikes, and then the fast money went out,” said</w:t>
      </w:r>
      <w:r>
        <w:rPr>
          <w:rStyle w:val="apple-converted-space"/>
          <w:color w:val="333333"/>
          <w:sz w:val="27"/>
          <w:szCs w:val="27"/>
        </w:rPr>
        <w:t> </w:t>
      </w:r>
      <w:r>
        <w:rPr>
          <w:color w:val="333333"/>
          <w:sz w:val="27"/>
          <w:szCs w:val="27"/>
        </w:rPr>
        <w:t xml:space="preserve">Diane </w:t>
      </w:r>
      <w:proofErr w:type="spellStart"/>
      <w:r>
        <w:rPr>
          <w:color w:val="333333"/>
          <w:sz w:val="27"/>
          <w:szCs w:val="27"/>
        </w:rPr>
        <w:t>Jaffee</w:t>
      </w:r>
      <w:proofErr w:type="spellEnd"/>
      <w:r>
        <w:rPr>
          <w:color w:val="333333"/>
          <w:sz w:val="27"/>
          <w:szCs w:val="27"/>
        </w:rPr>
        <w:t>,</w:t>
      </w:r>
      <w:r>
        <w:rPr>
          <w:rStyle w:val="apple-converted-space"/>
          <w:color w:val="333333"/>
          <w:sz w:val="27"/>
          <w:szCs w:val="27"/>
        </w:rPr>
        <w:t> </w:t>
      </w:r>
      <w:r>
        <w:rPr>
          <w:color w:val="333333"/>
          <w:sz w:val="27"/>
          <w:szCs w:val="27"/>
        </w:rPr>
        <w:t>a senior portfolio manager at TCW Group Inc.</w:t>
      </w:r>
    </w:p>
    <w:p w:rsidR="00B96326" w:rsidRDefault="00B96326" w:rsidP="00B96326">
      <w:pPr>
        <w:shd w:val="clear" w:color="auto" w:fill="FFFFFF"/>
        <w:spacing w:after="0" w:line="240" w:lineRule="auto"/>
        <w:textAlignment w:val="baseline"/>
        <w:rPr>
          <w:rFonts w:ascii="Arial" w:hAnsi="Arial" w:cs="Arial"/>
          <w:color w:val="333333"/>
          <w:sz w:val="17"/>
          <w:szCs w:val="17"/>
        </w:rPr>
      </w:pPr>
      <w:r>
        <w:rPr>
          <w:rFonts w:ascii="Arial" w:hAnsi="Arial" w:cs="Arial"/>
          <w:noProof/>
          <w:color w:val="333333"/>
          <w:sz w:val="17"/>
          <w:szCs w:val="17"/>
        </w:rPr>
        <w:lastRenderedPageBreak/>
        <w:drawing>
          <wp:inline distT="0" distB="0" distL="0" distR="0">
            <wp:extent cx="2741213" cy="2190307"/>
            <wp:effectExtent l="19050" t="0" r="1987" b="0"/>
            <wp:docPr id="1" name="Picture 1" descr="http://si.wsj.net/public/resources/images/OG-AG630_THESIS_9U_2016021114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OG-AG630_THESIS_9U_20160211141807.jpg"/>
                    <pic:cNvPicPr>
                      <a:picLocks noChangeAspect="1" noChangeArrowheads="1"/>
                    </pic:cNvPicPr>
                  </pic:nvPicPr>
                  <pic:blipFill>
                    <a:blip r:embed="rId10" cstate="print"/>
                    <a:srcRect/>
                    <a:stretch>
                      <a:fillRect/>
                    </a:stretch>
                  </pic:blipFill>
                  <pic:spPr bwMode="auto">
                    <a:xfrm>
                      <a:off x="0" y="0"/>
                      <a:ext cx="2741250" cy="2190337"/>
                    </a:xfrm>
                    <a:prstGeom prst="rect">
                      <a:avLst/>
                    </a:prstGeom>
                    <a:noFill/>
                    <a:ln w="9525">
                      <a:noFill/>
                      <a:miter lim="800000"/>
                      <a:headEnd/>
                      <a:tailEnd/>
                    </a:ln>
                  </pic:spPr>
                </pic:pic>
              </a:graphicData>
            </a:graphic>
          </wp:inline>
        </w:drawing>
      </w:r>
      <w:r>
        <w:rPr>
          <w:rStyle w:val="image-enlarge"/>
          <w:rFonts w:ascii="Arial" w:hAnsi="Arial" w:cs="Arial"/>
          <w:color w:val="333333"/>
          <w:sz w:val="17"/>
          <w:szCs w:val="17"/>
          <w:bdr w:val="none" w:sz="0" w:space="0" w:color="auto" w:frame="1"/>
        </w:rPr>
        <w:t>ENLARGE</w:t>
      </w:r>
    </w:p>
    <w:p w:rsidR="00B96326" w:rsidRDefault="00B96326" w:rsidP="00B96326">
      <w:pPr>
        <w:pStyle w:val="Heading4"/>
        <w:spacing w:before="0" w:line="240" w:lineRule="auto"/>
        <w:textAlignment w:val="baseline"/>
        <w:rPr>
          <w:rFonts w:ascii="Arial" w:hAnsi="Arial" w:cs="Arial"/>
          <w:color w:val="333333"/>
          <w:sz w:val="27"/>
          <w:szCs w:val="27"/>
        </w:rPr>
      </w:pPr>
      <w:r>
        <w:rPr>
          <w:rFonts w:ascii="Arial" w:hAnsi="Arial" w:cs="Arial"/>
          <w:color w:val="333333"/>
          <w:sz w:val="27"/>
          <w:szCs w:val="27"/>
        </w:rPr>
        <w:t>Anxious about the Yuan</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 xml:space="preserve">Some say the current market turmoil has its roots in China. Many investors believe the country will have no choice but to devalue the </w:t>
      </w:r>
      <w:proofErr w:type="spellStart"/>
      <w:r>
        <w:rPr>
          <w:color w:val="333333"/>
          <w:sz w:val="27"/>
          <w:szCs w:val="27"/>
        </w:rPr>
        <w:t>yuan</w:t>
      </w:r>
      <w:proofErr w:type="spellEnd"/>
      <w:r>
        <w:rPr>
          <w:color w:val="333333"/>
          <w:sz w:val="27"/>
          <w:szCs w:val="27"/>
        </w:rPr>
        <w:t>, a move that would likely deepen global economic woes by adding to transnational competition for scarce export earnings. Officials say they don’t intend to devalue but some hedge funds are trying to force their hand by making billion-dollar bets against the currency.</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 xml:space="preserve">Analysts are watching this struggle closely after </w:t>
      </w:r>
      <w:proofErr w:type="gramStart"/>
      <w:r>
        <w:rPr>
          <w:color w:val="333333"/>
          <w:sz w:val="27"/>
          <w:szCs w:val="27"/>
        </w:rPr>
        <w:t>an August</w:t>
      </w:r>
      <w:proofErr w:type="gramEnd"/>
      <w:r>
        <w:rPr>
          <w:color w:val="333333"/>
          <w:sz w:val="27"/>
          <w:szCs w:val="27"/>
        </w:rPr>
        <w:t xml:space="preserve"> </w:t>
      </w:r>
      <w:proofErr w:type="spellStart"/>
      <w:r>
        <w:rPr>
          <w:color w:val="333333"/>
          <w:sz w:val="27"/>
          <w:szCs w:val="27"/>
        </w:rPr>
        <w:t>yuan</w:t>
      </w:r>
      <w:proofErr w:type="spellEnd"/>
      <w:r>
        <w:rPr>
          <w:color w:val="333333"/>
          <w:sz w:val="27"/>
          <w:szCs w:val="27"/>
        </w:rPr>
        <w:t xml:space="preserve"> devaluation triggered a global selloff, amid concerns that China—long viewed by Wall Street as miserly with reliable data—is headed for an economic reckoning. Many investors fear recent developments mean “a hard landing,” said</w:t>
      </w:r>
      <w:r>
        <w:rPr>
          <w:rStyle w:val="apple-converted-space"/>
          <w:color w:val="333333"/>
          <w:sz w:val="27"/>
          <w:szCs w:val="27"/>
        </w:rPr>
        <w:t> </w:t>
      </w:r>
      <w:r>
        <w:rPr>
          <w:color w:val="333333"/>
          <w:sz w:val="27"/>
          <w:szCs w:val="27"/>
        </w:rPr>
        <w:t>Wayne Lin,</w:t>
      </w:r>
      <w:r>
        <w:rPr>
          <w:rStyle w:val="apple-converted-space"/>
          <w:color w:val="333333"/>
          <w:sz w:val="27"/>
          <w:szCs w:val="27"/>
        </w:rPr>
        <w:t> </w:t>
      </w:r>
      <w:r>
        <w:rPr>
          <w:color w:val="333333"/>
          <w:sz w:val="27"/>
          <w:szCs w:val="27"/>
        </w:rPr>
        <w:t>a portfolio manager at QS Investors.</w:t>
      </w:r>
    </w:p>
    <w:p w:rsidR="00B96326" w:rsidRDefault="00B96326" w:rsidP="00B96326">
      <w:pPr>
        <w:shd w:val="clear" w:color="auto" w:fill="FFFFFF"/>
        <w:spacing w:after="0" w:line="240" w:lineRule="auto"/>
        <w:textAlignment w:val="baseline"/>
        <w:rPr>
          <w:rFonts w:ascii="Arial" w:hAnsi="Arial" w:cs="Arial"/>
          <w:color w:val="333333"/>
          <w:sz w:val="17"/>
          <w:szCs w:val="17"/>
        </w:rPr>
      </w:pPr>
      <w:r>
        <w:rPr>
          <w:rFonts w:ascii="Arial" w:hAnsi="Arial" w:cs="Arial"/>
          <w:noProof/>
          <w:color w:val="333333"/>
          <w:sz w:val="17"/>
          <w:szCs w:val="17"/>
        </w:rPr>
        <w:drawing>
          <wp:inline distT="0" distB="0" distL="0" distR="0">
            <wp:extent cx="2927509" cy="2339163"/>
            <wp:effectExtent l="19050" t="0" r="6191" b="0"/>
            <wp:docPr id="2" name="Picture 2" descr="http://si.wsj.net/public/resources/images/OG-AG631_THESIS_9U_2016021114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OG-AG631_THESIS_9U_20160211142106.jpg"/>
                    <pic:cNvPicPr>
                      <a:picLocks noChangeAspect="1" noChangeArrowheads="1"/>
                    </pic:cNvPicPr>
                  </pic:nvPicPr>
                  <pic:blipFill>
                    <a:blip r:embed="rId11" cstate="print"/>
                    <a:srcRect/>
                    <a:stretch>
                      <a:fillRect/>
                    </a:stretch>
                  </pic:blipFill>
                  <pic:spPr bwMode="auto">
                    <a:xfrm>
                      <a:off x="0" y="0"/>
                      <a:ext cx="2927565" cy="2339208"/>
                    </a:xfrm>
                    <a:prstGeom prst="rect">
                      <a:avLst/>
                    </a:prstGeom>
                    <a:noFill/>
                    <a:ln w="9525">
                      <a:noFill/>
                      <a:miter lim="800000"/>
                      <a:headEnd/>
                      <a:tailEnd/>
                    </a:ln>
                  </pic:spPr>
                </pic:pic>
              </a:graphicData>
            </a:graphic>
          </wp:inline>
        </w:drawing>
      </w:r>
      <w:r>
        <w:rPr>
          <w:rStyle w:val="image-enlarge"/>
          <w:rFonts w:ascii="Arial" w:hAnsi="Arial" w:cs="Arial"/>
          <w:color w:val="333333"/>
          <w:sz w:val="17"/>
          <w:szCs w:val="17"/>
          <w:bdr w:val="none" w:sz="0" w:space="0" w:color="auto" w:frame="1"/>
        </w:rPr>
        <w:t>ENLARGE</w:t>
      </w:r>
    </w:p>
    <w:p w:rsidR="00B96326" w:rsidRDefault="00B96326" w:rsidP="00B96326">
      <w:pPr>
        <w:pStyle w:val="Heading4"/>
        <w:spacing w:before="0" w:line="240" w:lineRule="auto"/>
        <w:textAlignment w:val="baseline"/>
        <w:rPr>
          <w:rFonts w:ascii="Arial" w:hAnsi="Arial" w:cs="Arial"/>
          <w:color w:val="333333"/>
          <w:sz w:val="27"/>
          <w:szCs w:val="27"/>
        </w:rPr>
      </w:pPr>
      <w:r>
        <w:rPr>
          <w:rFonts w:ascii="Arial" w:hAnsi="Arial" w:cs="Arial"/>
          <w:color w:val="333333"/>
          <w:sz w:val="27"/>
          <w:szCs w:val="27"/>
        </w:rPr>
        <w:t>Sovereign-Wealth Funds</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Oil-producing countries poured billions into investment funds when crude prices were higher. Now, those funds are liquidating stocks bought in happier times, accelerating the U.S. market selloff, some theorize.</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Some of the U.S. stocks with the highest concentration of foreign ownership by oil-rich countries include</w:t>
      </w:r>
      <w:r>
        <w:rPr>
          <w:rStyle w:val="apple-converted-space"/>
          <w:color w:val="333333"/>
          <w:sz w:val="27"/>
          <w:szCs w:val="27"/>
        </w:rPr>
        <w:t> </w:t>
      </w:r>
      <w:proofErr w:type="spellStart"/>
      <w:r w:rsidR="00952C9C">
        <w:rPr>
          <w:color w:val="333333"/>
          <w:sz w:val="27"/>
          <w:szCs w:val="27"/>
        </w:rPr>
        <w:fldChar w:fldCharType="begin"/>
      </w:r>
      <w:r>
        <w:rPr>
          <w:color w:val="333333"/>
          <w:sz w:val="27"/>
          <w:szCs w:val="27"/>
        </w:rPr>
        <w:instrText xml:space="preserve"> HYPERLINK "http://quotes.wsj.com/NDAQ" </w:instrText>
      </w:r>
      <w:r w:rsidR="00952C9C">
        <w:rPr>
          <w:color w:val="333333"/>
          <w:sz w:val="27"/>
          <w:szCs w:val="27"/>
        </w:rPr>
        <w:fldChar w:fldCharType="separate"/>
      </w:r>
      <w:proofErr w:type="gramStart"/>
      <w:r>
        <w:rPr>
          <w:rStyle w:val="Hyperlink"/>
          <w:color w:val="0080C3"/>
          <w:sz w:val="27"/>
          <w:szCs w:val="27"/>
        </w:rPr>
        <w:t>Nasdaq</w:t>
      </w:r>
      <w:proofErr w:type="spellEnd"/>
      <w:r w:rsidR="00952C9C">
        <w:rPr>
          <w:color w:val="333333"/>
          <w:sz w:val="27"/>
          <w:szCs w:val="27"/>
        </w:rPr>
        <w:fldChar w:fldCharType="end"/>
      </w:r>
      <w:proofErr w:type="gramEnd"/>
      <w:r>
        <w:rPr>
          <w:rStyle w:val="apple-converted-space"/>
          <w:color w:val="333333"/>
          <w:sz w:val="27"/>
          <w:szCs w:val="27"/>
          <w:bdr w:val="none" w:sz="0" w:space="0" w:color="auto" w:frame="1"/>
        </w:rPr>
        <w:t> </w:t>
      </w:r>
      <w:r>
        <w:rPr>
          <w:rStyle w:val="company-name-type"/>
          <w:color w:val="333333"/>
          <w:sz w:val="27"/>
          <w:szCs w:val="27"/>
          <w:bdr w:val="none" w:sz="0" w:space="0" w:color="auto" w:frame="1"/>
        </w:rPr>
        <w:t>Inc.,</w:t>
      </w:r>
      <w:r>
        <w:rPr>
          <w:rStyle w:val="apple-converted-space"/>
          <w:color w:val="333333"/>
          <w:sz w:val="27"/>
          <w:szCs w:val="27"/>
        </w:rPr>
        <w:t> </w:t>
      </w:r>
      <w:hyperlink r:id="rId12" w:history="1">
        <w:r>
          <w:rPr>
            <w:rStyle w:val="Hyperlink"/>
            <w:color w:val="0080C3"/>
            <w:sz w:val="27"/>
            <w:szCs w:val="27"/>
          </w:rPr>
          <w:t>Tiffany</w:t>
        </w:r>
      </w:hyperlink>
      <w:r>
        <w:rPr>
          <w:rStyle w:val="apple-converted-space"/>
          <w:color w:val="333333"/>
          <w:sz w:val="27"/>
          <w:szCs w:val="27"/>
        </w:rPr>
        <w:t> </w:t>
      </w:r>
      <w:r>
        <w:rPr>
          <w:color w:val="333333"/>
          <w:sz w:val="27"/>
          <w:szCs w:val="27"/>
        </w:rPr>
        <w:t>&amp; Co.,</w:t>
      </w:r>
      <w:r>
        <w:rPr>
          <w:rStyle w:val="apple-converted-space"/>
          <w:color w:val="333333"/>
          <w:sz w:val="27"/>
          <w:szCs w:val="27"/>
        </w:rPr>
        <w:t> </w:t>
      </w:r>
      <w:hyperlink r:id="rId13" w:history="1">
        <w:r>
          <w:rPr>
            <w:rStyle w:val="Hyperlink"/>
            <w:color w:val="0080C3"/>
            <w:sz w:val="27"/>
            <w:szCs w:val="27"/>
          </w:rPr>
          <w:t>AFLAC</w:t>
        </w:r>
      </w:hyperlink>
      <w:r>
        <w:rPr>
          <w:rStyle w:val="apple-converted-space"/>
          <w:color w:val="333333"/>
          <w:sz w:val="27"/>
          <w:szCs w:val="27"/>
          <w:bdr w:val="none" w:sz="0" w:space="0" w:color="auto" w:frame="1"/>
        </w:rPr>
        <w:t> </w:t>
      </w:r>
      <w:r>
        <w:rPr>
          <w:rStyle w:val="company-name-type"/>
          <w:color w:val="333333"/>
          <w:sz w:val="27"/>
          <w:szCs w:val="27"/>
          <w:bdr w:val="none" w:sz="0" w:space="0" w:color="auto" w:frame="1"/>
        </w:rPr>
        <w:t>Inc.</w:t>
      </w:r>
      <w:r>
        <w:rPr>
          <w:rStyle w:val="apple-converted-space"/>
          <w:color w:val="333333"/>
          <w:sz w:val="27"/>
          <w:szCs w:val="27"/>
        </w:rPr>
        <w:t> </w:t>
      </w:r>
      <w:r>
        <w:rPr>
          <w:color w:val="333333"/>
          <w:sz w:val="27"/>
          <w:szCs w:val="27"/>
        </w:rPr>
        <w:t>and</w:t>
      </w:r>
      <w:r>
        <w:rPr>
          <w:rStyle w:val="apple-converted-space"/>
          <w:color w:val="333333"/>
          <w:sz w:val="27"/>
          <w:szCs w:val="27"/>
        </w:rPr>
        <w:t> </w:t>
      </w:r>
      <w:proofErr w:type="spellStart"/>
      <w:r w:rsidR="00952C9C">
        <w:rPr>
          <w:color w:val="333333"/>
          <w:sz w:val="27"/>
          <w:szCs w:val="27"/>
        </w:rPr>
        <w:fldChar w:fldCharType="begin"/>
      </w:r>
      <w:r>
        <w:rPr>
          <w:color w:val="333333"/>
          <w:sz w:val="27"/>
          <w:szCs w:val="27"/>
        </w:rPr>
        <w:instrText xml:space="preserve"> HYPERLINK "http://quotes.wsj.com/BLK" </w:instrText>
      </w:r>
      <w:r w:rsidR="00952C9C">
        <w:rPr>
          <w:color w:val="333333"/>
          <w:sz w:val="27"/>
          <w:szCs w:val="27"/>
        </w:rPr>
        <w:fldChar w:fldCharType="separate"/>
      </w:r>
      <w:r>
        <w:rPr>
          <w:rStyle w:val="Hyperlink"/>
          <w:color w:val="0080C3"/>
          <w:sz w:val="27"/>
          <w:szCs w:val="27"/>
        </w:rPr>
        <w:t>BlackRock</w:t>
      </w:r>
      <w:proofErr w:type="spellEnd"/>
      <w:r w:rsidR="00952C9C">
        <w:rPr>
          <w:color w:val="333333"/>
          <w:sz w:val="27"/>
          <w:szCs w:val="27"/>
        </w:rPr>
        <w:fldChar w:fldCharType="end"/>
      </w:r>
      <w:r>
        <w:rPr>
          <w:rStyle w:val="apple-converted-space"/>
          <w:color w:val="333333"/>
          <w:sz w:val="27"/>
          <w:szCs w:val="27"/>
          <w:bdr w:val="none" w:sz="0" w:space="0" w:color="auto" w:frame="1"/>
        </w:rPr>
        <w:t> </w:t>
      </w:r>
      <w:r>
        <w:rPr>
          <w:rStyle w:val="company-name-type"/>
          <w:color w:val="333333"/>
          <w:sz w:val="27"/>
          <w:szCs w:val="27"/>
          <w:bdr w:val="none" w:sz="0" w:space="0" w:color="auto" w:frame="1"/>
        </w:rPr>
        <w:t>Inc.,</w:t>
      </w:r>
      <w:r>
        <w:rPr>
          <w:rStyle w:val="apple-converted-space"/>
          <w:color w:val="333333"/>
          <w:sz w:val="27"/>
          <w:szCs w:val="27"/>
        </w:rPr>
        <w:t> </w:t>
      </w:r>
      <w:r>
        <w:rPr>
          <w:color w:val="333333"/>
          <w:sz w:val="27"/>
          <w:szCs w:val="27"/>
        </w:rPr>
        <w:t>according to Deutsche Bank data.</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lastRenderedPageBreak/>
        <w:t>Of course, data on who is and isn’t actually selling is scarce, and there is some reason to wonder if these funds, however large, could really exert a large effect on U.S. markets.</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While</w:t>
      </w:r>
      <w:r>
        <w:rPr>
          <w:rStyle w:val="apple-converted-space"/>
          <w:color w:val="333333"/>
          <w:sz w:val="27"/>
          <w:szCs w:val="27"/>
        </w:rPr>
        <w:t> </w:t>
      </w:r>
      <w:hyperlink r:id="rId14" w:history="1">
        <w:r>
          <w:rPr>
            <w:rStyle w:val="Hyperlink"/>
            <w:color w:val="0080C3"/>
            <w:sz w:val="27"/>
            <w:szCs w:val="27"/>
          </w:rPr>
          <w:t>J.P. Morgan</w:t>
        </w:r>
      </w:hyperlink>
      <w:r>
        <w:rPr>
          <w:rStyle w:val="apple-converted-space"/>
          <w:color w:val="333333"/>
          <w:sz w:val="27"/>
          <w:szCs w:val="27"/>
        </w:rPr>
        <w:t> </w:t>
      </w:r>
      <w:r>
        <w:rPr>
          <w:color w:val="333333"/>
          <w:sz w:val="27"/>
          <w:szCs w:val="27"/>
        </w:rPr>
        <w:t>forecasts that sovereign-wealth funds will be forced to sell $75 billion in stocks around the world this year, the U.S. market recently weighed in at $20.95 trillion.</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 xml:space="preserve">“Oil prices will be persistently challenged, but I don’t see oil-driven sovereign wealth flows being a mortal threat to U.S. equities or equities in general,” said Ben Mandel, global strategist of </w:t>
      </w:r>
      <w:proofErr w:type="spellStart"/>
      <w:r>
        <w:rPr>
          <w:color w:val="333333"/>
          <w:sz w:val="27"/>
          <w:szCs w:val="27"/>
        </w:rPr>
        <w:t>multiasset</w:t>
      </w:r>
      <w:proofErr w:type="spellEnd"/>
      <w:r>
        <w:rPr>
          <w:color w:val="333333"/>
          <w:sz w:val="27"/>
          <w:szCs w:val="27"/>
        </w:rPr>
        <w:t xml:space="preserve"> solutions at J.P. Morgan Asset Management.</w:t>
      </w:r>
    </w:p>
    <w:p w:rsidR="00B96326" w:rsidRDefault="00B96326" w:rsidP="00B96326">
      <w:pPr>
        <w:shd w:val="clear" w:color="auto" w:fill="FFFFFF"/>
        <w:spacing w:after="0" w:line="240" w:lineRule="auto"/>
        <w:textAlignment w:val="baseline"/>
        <w:rPr>
          <w:rFonts w:ascii="Arial" w:hAnsi="Arial" w:cs="Arial"/>
          <w:color w:val="333333"/>
          <w:sz w:val="17"/>
          <w:szCs w:val="17"/>
        </w:rPr>
      </w:pPr>
      <w:r>
        <w:rPr>
          <w:rFonts w:ascii="Arial" w:hAnsi="Arial" w:cs="Arial"/>
          <w:noProof/>
          <w:color w:val="333333"/>
          <w:sz w:val="17"/>
          <w:szCs w:val="17"/>
        </w:rPr>
        <w:drawing>
          <wp:inline distT="0" distB="0" distL="0" distR="0">
            <wp:extent cx="2994043" cy="2392326"/>
            <wp:effectExtent l="19050" t="0" r="0" b="0"/>
            <wp:docPr id="3" name="Picture 3" descr="http://si.wsj.net/public/resources/images/OG-AG634_THESIS_9U_2016021114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OG-AG634_THESIS_9U_20160211141831.jpg"/>
                    <pic:cNvPicPr>
                      <a:picLocks noChangeAspect="1" noChangeArrowheads="1"/>
                    </pic:cNvPicPr>
                  </pic:nvPicPr>
                  <pic:blipFill>
                    <a:blip r:embed="rId15" cstate="print"/>
                    <a:srcRect/>
                    <a:stretch>
                      <a:fillRect/>
                    </a:stretch>
                  </pic:blipFill>
                  <pic:spPr bwMode="auto">
                    <a:xfrm>
                      <a:off x="0" y="0"/>
                      <a:ext cx="2996120" cy="2393985"/>
                    </a:xfrm>
                    <a:prstGeom prst="rect">
                      <a:avLst/>
                    </a:prstGeom>
                    <a:noFill/>
                    <a:ln w="9525">
                      <a:noFill/>
                      <a:miter lim="800000"/>
                      <a:headEnd/>
                      <a:tailEnd/>
                    </a:ln>
                  </pic:spPr>
                </pic:pic>
              </a:graphicData>
            </a:graphic>
          </wp:inline>
        </w:drawing>
      </w:r>
      <w:r>
        <w:rPr>
          <w:rStyle w:val="image-enlarge"/>
          <w:rFonts w:ascii="Arial" w:hAnsi="Arial" w:cs="Arial"/>
          <w:color w:val="333333"/>
          <w:sz w:val="17"/>
          <w:szCs w:val="17"/>
          <w:bdr w:val="none" w:sz="0" w:space="0" w:color="auto" w:frame="1"/>
        </w:rPr>
        <w:t>ENLARGE</w:t>
      </w:r>
    </w:p>
    <w:p w:rsidR="00B96326" w:rsidRDefault="00B96326" w:rsidP="00B96326">
      <w:pPr>
        <w:pStyle w:val="Heading4"/>
        <w:spacing w:before="0" w:line="240" w:lineRule="auto"/>
        <w:textAlignment w:val="baseline"/>
        <w:rPr>
          <w:rFonts w:ascii="Arial" w:hAnsi="Arial" w:cs="Arial"/>
          <w:color w:val="333333"/>
          <w:sz w:val="27"/>
          <w:szCs w:val="27"/>
        </w:rPr>
      </w:pPr>
      <w:r>
        <w:rPr>
          <w:rFonts w:ascii="Arial" w:hAnsi="Arial" w:cs="Arial"/>
          <w:color w:val="333333"/>
          <w:sz w:val="27"/>
          <w:szCs w:val="27"/>
        </w:rPr>
        <w:t>The U.S. Could Get Swamped</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Many investors are worried that the U.S., in recent years the strongest-performing economy in the developed world, is about to be dragged down by global forces including the rise of the dollar.</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The U.S. manufacturing sector</w:t>
      </w:r>
      <w:r>
        <w:rPr>
          <w:rStyle w:val="apple-converted-space"/>
          <w:color w:val="333333"/>
          <w:sz w:val="27"/>
          <w:szCs w:val="27"/>
        </w:rPr>
        <w:t> </w:t>
      </w:r>
      <w:hyperlink r:id="rId16" w:tgtFrame="_self" w:history="1">
        <w:r>
          <w:rPr>
            <w:rStyle w:val="Hyperlink"/>
            <w:color w:val="0080C3"/>
            <w:sz w:val="27"/>
            <w:szCs w:val="27"/>
          </w:rPr>
          <w:t>contracted for the fourth straight month</w:t>
        </w:r>
      </w:hyperlink>
      <w:r>
        <w:rPr>
          <w:rStyle w:val="apple-converted-space"/>
          <w:color w:val="333333"/>
          <w:sz w:val="27"/>
          <w:szCs w:val="27"/>
        </w:rPr>
        <w:t> </w:t>
      </w:r>
      <w:r>
        <w:rPr>
          <w:color w:val="333333"/>
          <w:sz w:val="27"/>
          <w:szCs w:val="27"/>
        </w:rPr>
        <w:t>in January. Jobs growth, long the bright spot of the economic expansion, slowed last month. Fed officials have signaled concern.</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At the same time, unemployment slipped last month and wages rose, and many market indicators that may point to future economic difficulties seem overwrought (consider the decline in bank stocks that has left many major U.S. lenders trading below the stated value of their net assets), accentuating uncertainty.</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“The biggest risk that’s really on everybody’s mind is that there’s going to be a sharp slowdown in emerging markets that’s going to spill over into the U.S.,” said</w:t>
      </w:r>
      <w:r>
        <w:rPr>
          <w:rStyle w:val="apple-converted-space"/>
          <w:color w:val="333333"/>
          <w:sz w:val="27"/>
          <w:szCs w:val="27"/>
        </w:rPr>
        <w:t> </w:t>
      </w:r>
      <w:r>
        <w:rPr>
          <w:color w:val="333333"/>
          <w:sz w:val="27"/>
          <w:szCs w:val="27"/>
        </w:rPr>
        <w:t xml:space="preserve">David </w:t>
      </w:r>
      <w:proofErr w:type="spellStart"/>
      <w:r>
        <w:rPr>
          <w:color w:val="333333"/>
          <w:sz w:val="27"/>
          <w:szCs w:val="27"/>
        </w:rPr>
        <w:t>Lefkowitz</w:t>
      </w:r>
      <w:proofErr w:type="spellEnd"/>
      <w:r>
        <w:rPr>
          <w:color w:val="333333"/>
          <w:sz w:val="27"/>
          <w:szCs w:val="27"/>
        </w:rPr>
        <w:t>,</w:t>
      </w:r>
      <w:r>
        <w:rPr>
          <w:rStyle w:val="apple-converted-space"/>
          <w:color w:val="333333"/>
          <w:sz w:val="27"/>
          <w:szCs w:val="27"/>
        </w:rPr>
        <w:t> </w:t>
      </w:r>
      <w:r>
        <w:rPr>
          <w:color w:val="333333"/>
          <w:sz w:val="27"/>
          <w:szCs w:val="27"/>
        </w:rPr>
        <w:t>senior equity strategist at UBS Wealth Management Americas.</w:t>
      </w:r>
    </w:p>
    <w:p w:rsidR="00B96326" w:rsidRDefault="00B96326" w:rsidP="00B96326">
      <w:pPr>
        <w:shd w:val="clear" w:color="auto" w:fill="FFFFFF"/>
        <w:spacing w:after="0" w:line="240" w:lineRule="auto"/>
        <w:textAlignment w:val="baseline"/>
        <w:rPr>
          <w:rFonts w:ascii="Arial" w:hAnsi="Arial" w:cs="Arial"/>
          <w:color w:val="333333"/>
          <w:sz w:val="17"/>
          <w:szCs w:val="17"/>
        </w:rPr>
      </w:pPr>
      <w:r>
        <w:rPr>
          <w:rFonts w:ascii="Arial" w:hAnsi="Arial" w:cs="Arial"/>
          <w:noProof/>
          <w:color w:val="333333"/>
          <w:sz w:val="17"/>
          <w:szCs w:val="17"/>
        </w:rPr>
        <w:lastRenderedPageBreak/>
        <w:drawing>
          <wp:inline distT="0" distB="0" distL="0" distR="0">
            <wp:extent cx="2649722" cy="2117204"/>
            <wp:effectExtent l="19050" t="0" r="0" b="0"/>
            <wp:docPr id="4" name="Picture 4" descr="http://si.wsj.net/public/resources/images/OG-AG632_THESIS_9U_2016021114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OG-AG632_THESIS_9U_20160211141819.jpg"/>
                    <pic:cNvPicPr>
                      <a:picLocks noChangeAspect="1" noChangeArrowheads="1"/>
                    </pic:cNvPicPr>
                  </pic:nvPicPr>
                  <pic:blipFill>
                    <a:blip r:embed="rId17" cstate="print"/>
                    <a:srcRect/>
                    <a:stretch>
                      <a:fillRect/>
                    </a:stretch>
                  </pic:blipFill>
                  <pic:spPr bwMode="auto">
                    <a:xfrm>
                      <a:off x="0" y="0"/>
                      <a:ext cx="2649773" cy="2117245"/>
                    </a:xfrm>
                    <a:prstGeom prst="rect">
                      <a:avLst/>
                    </a:prstGeom>
                    <a:noFill/>
                    <a:ln w="9525">
                      <a:noFill/>
                      <a:miter lim="800000"/>
                      <a:headEnd/>
                      <a:tailEnd/>
                    </a:ln>
                  </pic:spPr>
                </pic:pic>
              </a:graphicData>
            </a:graphic>
          </wp:inline>
        </w:drawing>
      </w:r>
      <w:r>
        <w:rPr>
          <w:rStyle w:val="image-enlarge"/>
          <w:rFonts w:ascii="Arial" w:hAnsi="Arial" w:cs="Arial"/>
          <w:color w:val="333333"/>
          <w:sz w:val="17"/>
          <w:szCs w:val="17"/>
          <w:bdr w:val="none" w:sz="0" w:space="0" w:color="auto" w:frame="1"/>
        </w:rPr>
        <w:t>ENLARGE</w:t>
      </w:r>
    </w:p>
    <w:p w:rsidR="00B96326" w:rsidRDefault="00B96326" w:rsidP="00B96326">
      <w:pPr>
        <w:pStyle w:val="Heading4"/>
        <w:spacing w:before="0" w:line="240" w:lineRule="auto"/>
        <w:textAlignment w:val="baseline"/>
        <w:rPr>
          <w:rFonts w:ascii="Arial" w:hAnsi="Arial" w:cs="Arial"/>
          <w:color w:val="333333"/>
          <w:sz w:val="27"/>
          <w:szCs w:val="27"/>
        </w:rPr>
      </w:pPr>
      <w:r>
        <w:rPr>
          <w:rFonts w:ascii="Arial" w:hAnsi="Arial" w:cs="Arial"/>
          <w:color w:val="333333"/>
          <w:sz w:val="27"/>
          <w:szCs w:val="27"/>
        </w:rPr>
        <w:t>Growth Isn’t Growing</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The slump in oil prices since June 2014 has largely been attributed to oversupply, as oil producers around the world continue pumping crude even at depressed prices.</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 xml:space="preserve">But as benchmark prices dropped below $30 this year, investors started pointing to a </w:t>
      </w:r>
      <w:hyperlink r:id="rId18" w:tgtFrame="_self" w:history="1">
        <w:r>
          <w:rPr>
            <w:rStyle w:val="Hyperlink"/>
            <w:color w:val="0080C3"/>
            <w:sz w:val="27"/>
            <w:szCs w:val="27"/>
          </w:rPr>
          <w:t>slowdown in demand</w:t>
        </w:r>
      </w:hyperlink>
      <w:r>
        <w:rPr>
          <w:rStyle w:val="apple-converted-space"/>
          <w:color w:val="333333"/>
          <w:sz w:val="27"/>
          <w:szCs w:val="27"/>
        </w:rPr>
        <w:t> </w:t>
      </w:r>
      <w:r>
        <w:rPr>
          <w:color w:val="333333"/>
          <w:sz w:val="27"/>
          <w:szCs w:val="27"/>
        </w:rPr>
        <w:t>as well.</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“If commodities prices as a whole are generally weak, that tells me that generally speaking, global demand is weak,” said</w:t>
      </w:r>
      <w:r>
        <w:rPr>
          <w:rStyle w:val="apple-converted-space"/>
          <w:color w:val="333333"/>
          <w:sz w:val="27"/>
          <w:szCs w:val="27"/>
        </w:rPr>
        <w:t> </w:t>
      </w:r>
      <w:r>
        <w:rPr>
          <w:color w:val="333333"/>
          <w:sz w:val="27"/>
          <w:szCs w:val="27"/>
        </w:rPr>
        <w:t>Paul Nolte,</w:t>
      </w:r>
      <w:r>
        <w:rPr>
          <w:rStyle w:val="apple-converted-space"/>
          <w:color w:val="333333"/>
          <w:sz w:val="27"/>
          <w:szCs w:val="27"/>
        </w:rPr>
        <w:t> </w:t>
      </w:r>
      <w:r>
        <w:rPr>
          <w:color w:val="333333"/>
          <w:sz w:val="27"/>
          <w:szCs w:val="27"/>
        </w:rPr>
        <w:t xml:space="preserve">portfolio manager at </w:t>
      </w:r>
      <w:proofErr w:type="spellStart"/>
      <w:r>
        <w:rPr>
          <w:color w:val="333333"/>
          <w:sz w:val="27"/>
          <w:szCs w:val="27"/>
        </w:rPr>
        <w:t>Kingsview</w:t>
      </w:r>
      <w:proofErr w:type="spellEnd"/>
      <w:r>
        <w:rPr>
          <w:color w:val="333333"/>
          <w:sz w:val="27"/>
          <w:szCs w:val="27"/>
        </w:rPr>
        <w:t xml:space="preserve"> Asset Management, which manages about $150 million.</w:t>
      </w:r>
    </w:p>
    <w:p w:rsidR="00B96326" w:rsidRDefault="00B96326" w:rsidP="00B96326">
      <w:pPr>
        <w:shd w:val="clear" w:color="auto" w:fill="FFFFFF"/>
        <w:spacing w:after="0" w:line="240" w:lineRule="auto"/>
        <w:textAlignment w:val="baseline"/>
        <w:rPr>
          <w:rFonts w:ascii="Arial" w:hAnsi="Arial" w:cs="Arial"/>
          <w:color w:val="333333"/>
          <w:sz w:val="17"/>
          <w:szCs w:val="17"/>
        </w:rPr>
      </w:pPr>
      <w:r>
        <w:rPr>
          <w:rFonts w:ascii="Arial" w:hAnsi="Arial" w:cs="Arial"/>
          <w:noProof/>
          <w:color w:val="333333"/>
          <w:sz w:val="17"/>
          <w:szCs w:val="17"/>
        </w:rPr>
        <w:drawing>
          <wp:inline distT="0" distB="0" distL="0" distR="0">
            <wp:extent cx="2994044" cy="2392326"/>
            <wp:effectExtent l="19050" t="0" r="0" b="0"/>
            <wp:docPr id="5" name="Picture 5" descr="http://si.wsj.net/public/resources/images/OG-AG633_THESIS_9U_20160211142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OG-AG633_THESIS_9U_20160211142120.jpg"/>
                    <pic:cNvPicPr>
                      <a:picLocks noChangeAspect="1" noChangeArrowheads="1"/>
                    </pic:cNvPicPr>
                  </pic:nvPicPr>
                  <pic:blipFill>
                    <a:blip r:embed="rId19" cstate="print"/>
                    <a:srcRect/>
                    <a:stretch>
                      <a:fillRect/>
                    </a:stretch>
                  </pic:blipFill>
                  <pic:spPr bwMode="auto">
                    <a:xfrm>
                      <a:off x="0" y="0"/>
                      <a:ext cx="2995306" cy="2393334"/>
                    </a:xfrm>
                    <a:prstGeom prst="rect">
                      <a:avLst/>
                    </a:prstGeom>
                    <a:noFill/>
                    <a:ln w="9525">
                      <a:noFill/>
                      <a:miter lim="800000"/>
                      <a:headEnd/>
                      <a:tailEnd/>
                    </a:ln>
                  </pic:spPr>
                </pic:pic>
              </a:graphicData>
            </a:graphic>
          </wp:inline>
        </w:drawing>
      </w:r>
      <w:r>
        <w:rPr>
          <w:rStyle w:val="image-enlarge"/>
          <w:rFonts w:ascii="Arial" w:hAnsi="Arial" w:cs="Arial"/>
          <w:color w:val="333333"/>
          <w:sz w:val="17"/>
          <w:szCs w:val="17"/>
          <w:bdr w:val="none" w:sz="0" w:space="0" w:color="auto" w:frame="1"/>
        </w:rPr>
        <w:t xml:space="preserve"> </w:t>
      </w:r>
    </w:p>
    <w:p w:rsidR="00B96326" w:rsidRDefault="00B96326" w:rsidP="00B96326">
      <w:pPr>
        <w:pStyle w:val="NormalWeb"/>
        <w:spacing w:before="0" w:beforeAutospacing="0" w:after="0" w:afterAutospacing="0"/>
        <w:textAlignment w:val="baseline"/>
        <w:rPr>
          <w:color w:val="333333"/>
          <w:sz w:val="27"/>
          <w:szCs w:val="27"/>
        </w:rPr>
      </w:pPr>
      <w:r>
        <w:rPr>
          <w:color w:val="333333"/>
          <w:sz w:val="27"/>
          <w:szCs w:val="27"/>
        </w:rPr>
        <w:t xml:space="preserve"> </w:t>
      </w:r>
    </w:p>
    <w:p w:rsidR="009A6A50" w:rsidRDefault="00E312E1" w:rsidP="00B96326">
      <w:pPr>
        <w:spacing w:after="0" w:line="240" w:lineRule="auto"/>
      </w:pPr>
    </w:p>
    <w:sectPr w:rsidR="009A6A50" w:rsidSect="00AF2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DBE"/>
    <w:multiLevelType w:val="multilevel"/>
    <w:tmpl w:val="D74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052A0"/>
    <w:multiLevelType w:val="multilevel"/>
    <w:tmpl w:val="FAC2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924B8"/>
    <w:multiLevelType w:val="multilevel"/>
    <w:tmpl w:val="C2B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96326"/>
    <w:rsid w:val="00952C9C"/>
    <w:rsid w:val="00AF2EE6"/>
    <w:rsid w:val="00B96326"/>
    <w:rsid w:val="00CE7302"/>
    <w:rsid w:val="00DC7D1D"/>
    <w:rsid w:val="00E31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6"/>
  </w:style>
  <w:style w:type="paragraph" w:styleId="Heading1">
    <w:name w:val="heading 1"/>
    <w:basedOn w:val="Normal"/>
    <w:link w:val="Heading1Char"/>
    <w:uiPriority w:val="9"/>
    <w:qFormat/>
    <w:rsid w:val="00B96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96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3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6326"/>
    <w:rPr>
      <w:color w:val="0000FF"/>
      <w:u w:val="single"/>
    </w:rPr>
  </w:style>
  <w:style w:type="character" w:customStyle="1" w:styleId="Heading4Char">
    <w:name w:val="Heading 4 Char"/>
    <w:basedOn w:val="DefaultParagraphFont"/>
    <w:link w:val="Heading4"/>
    <w:uiPriority w:val="9"/>
    <w:semiHidden/>
    <w:rsid w:val="00B96326"/>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B96326"/>
  </w:style>
  <w:style w:type="character" w:customStyle="1" w:styleId="name">
    <w:name w:val="name"/>
    <w:basedOn w:val="DefaultParagraphFont"/>
    <w:rsid w:val="00B96326"/>
  </w:style>
  <w:style w:type="paragraph" w:styleId="NormalWeb">
    <w:name w:val="Normal (Web)"/>
    <w:basedOn w:val="Normal"/>
    <w:uiPriority w:val="99"/>
    <w:semiHidden/>
    <w:unhideWhenUsed/>
    <w:rsid w:val="00B96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B96326"/>
  </w:style>
  <w:style w:type="character" w:customStyle="1" w:styleId="company-name-type">
    <w:name w:val="company-name-type"/>
    <w:basedOn w:val="DefaultParagraphFont"/>
    <w:rsid w:val="00B96326"/>
  </w:style>
  <w:style w:type="paragraph" w:customStyle="1" w:styleId="articletagline">
    <w:name w:val="articletagline"/>
    <w:basedOn w:val="Normal"/>
    <w:rsid w:val="00B96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326"/>
    <w:rPr>
      <w:b/>
      <w:bCs/>
    </w:rPr>
  </w:style>
  <w:style w:type="paragraph" w:styleId="BalloonText">
    <w:name w:val="Balloon Text"/>
    <w:basedOn w:val="Normal"/>
    <w:link w:val="BalloonTextChar"/>
    <w:uiPriority w:val="99"/>
    <w:semiHidden/>
    <w:unhideWhenUsed/>
    <w:rsid w:val="00B9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976491">
      <w:bodyDiv w:val="1"/>
      <w:marLeft w:val="0"/>
      <w:marRight w:val="0"/>
      <w:marTop w:val="0"/>
      <w:marBottom w:val="0"/>
      <w:divBdr>
        <w:top w:val="none" w:sz="0" w:space="0" w:color="auto"/>
        <w:left w:val="none" w:sz="0" w:space="0" w:color="auto"/>
        <w:bottom w:val="none" w:sz="0" w:space="0" w:color="auto"/>
        <w:right w:val="none" w:sz="0" w:space="0" w:color="auto"/>
      </w:divBdr>
      <w:divsChild>
        <w:div w:id="644118654">
          <w:marLeft w:val="167"/>
          <w:marRight w:val="167"/>
          <w:marTop w:val="0"/>
          <w:marBottom w:val="0"/>
          <w:divBdr>
            <w:top w:val="none" w:sz="0" w:space="0" w:color="auto"/>
            <w:left w:val="none" w:sz="0" w:space="0" w:color="auto"/>
            <w:bottom w:val="none" w:sz="0" w:space="0" w:color="auto"/>
            <w:right w:val="none" w:sz="0" w:space="0" w:color="auto"/>
          </w:divBdr>
          <w:divsChild>
            <w:div w:id="1910118212">
              <w:marLeft w:val="0"/>
              <w:marRight w:val="0"/>
              <w:marTop w:val="0"/>
              <w:marBottom w:val="0"/>
              <w:divBdr>
                <w:top w:val="none" w:sz="0" w:space="0" w:color="auto"/>
                <w:left w:val="none" w:sz="0" w:space="0" w:color="auto"/>
                <w:bottom w:val="none" w:sz="0" w:space="0" w:color="auto"/>
                <w:right w:val="none" w:sz="0" w:space="0" w:color="auto"/>
              </w:divBdr>
            </w:div>
          </w:divsChild>
        </w:div>
        <w:div w:id="2063482502">
          <w:marLeft w:val="0"/>
          <w:marRight w:val="0"/>
          <w:marTop w:val="0"/>
          <w:marBottom w:val="0"/>
          <w:divBdr>
            <w:top w:val="none" w:sz="0" w:space="0" w:color="auto"/>
            <w:left w:val="none" w:sz="0" w:space="0" w:color="auto"/>
            <w:bottom w:val="none" w:sz="0" w:space="0" w:color="auto"/>
            <w:right w:val="none" w:sz="0" w:space="0" w:color="auto"/>
          </w:divBdr>
          <w:divsChild>
            <w:div w:id="467161670">
              <w:marLeft w:val="0"/>
              <w:marRight w:val="0"/>
              <w:marTop w:val="0"/>
              <w:marBottom w:val="419"/>
              <w:divBdr>
                <w:top w:val="none" w:sz="0" w:space="0" w:color="auto"/>
                <w:left w:val="none" w:sz="0" w:space="0" w:color="auto"/>
                <w:bottom w:val="none" w:sz="0" w:space="0" w:color="auto"/>
                <w:right w:val="none" w:sz="0" w:space="0" w:color="auto"/>
              </w:divBdr>
              <w:divsChild>
                <w:div w:id="2106421083">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861406264">
      <w:bodyDiv w:val="1"/>
      <w:marLeft w:val="0"/>
      <w:marRight w:val="0"/>
      <w:marTop w:val="0"/>
      <w:marBottom w:val="0"/>
      <w:divBdr>
        <w:top w:val="none" w:sz="0" w:space="0" w:color="auto"/>
        <w:left w:val="none" w:sz="0" w:space="0" w:color="auto"/>
        <w:bottom w:val="none" w:sz="0" w:space="0" w:color="auto"/>
        <w:right w:val="none" w:sz="0" w:space="0" w:color="auto"/>
      </w:divBdr>
      <w:divsChild>
        <w:div w:id="1687974259">
          <w:marLeft w:val="0"/>
          <w:marRight w:val="0"/>
          <w:marTop w:val="0"/>
          <w:marBottom w:val="0"/>
          <w:divBdr>
            <w:top w:val="none" w:sz="0" w:space="0" w:color="auto"/>
            <w:left w:val="none" w:sz="0" w:space="0" w:color="auto"/>
            <w:bottom w:val="none" w:sz="0" w:space="0" w:color="auto"/>
            <w:right w:val="none" w:sz="0" w:space="0" w:color="auto"/>
          </w:divBdr>
          <w:divsChild>
            <w:div w:id="1318803558">
              <w:marLeft w:val="0"/>
              <w:marRight w:val="0"/>
              <w:marTop w:val="0"/>
              <w:marBottom w:val="419"/>
              <w:divBdr>
                <w:top w:val="none" w:sz="0" w:space="0" w:color="auto"/>
                <w:left w:val="none" w:sz="0" w:space="0" w:color="auto"/>
                <w:bottom w:val="none" w:sz="0" w:space="0" w:color="auto"/>
                <w:right w:val="none" w:sz="0" w:space="0" w:color="auto"/>
              </w:divBdr>
            </w:div>
          </w:divsChild>
        </w:div>
        <w:div w:id="2002464339">
          <w:marLeft w:val="1340"/>
          <w:marRight w:val="0"/>
          <w:marTop w:val="0"/>
          <w:marBottom w:val="0"/>
          <w:divBdr>
            <w:top w:val="none" w:sz="0" w:space="0" w:color="auto"/>
            <w:left w:val="none" w:sz="0" w:space="0" w:color="auto"/>
            <w:bottom w:val="none" w:sz="0" w:space="0" w:color="auto"/>
            <w:right w:val="none" w:sz="0" w:space="0" w:color="auto"/>
          </w:divBdr>
          <w:divsChild>
            <w:div w:id="1570963559">
              <w:marLeft w:val="167"/>
              <w:marRight w:val="167"/>
              <w:marTop w:val="0"/>
              <w:marBottom w:val="0"/>
              <w:divBdr>
                <w:top w:val="none" w:sz="0" w:space="0" w:color="auto"/>
                <w:left w:val="none" w:sz="0" w:space="0" w:color="auto"/>
                <w:bottom w:val="none" w:sz="0" w:space="0" w:color="auto"/>
                <w:right w:val="none" w:sz="0" w:space="0" w:color="auto"/>
              </w:divBdr>
              <w:divsChild>
                <w:div w:id="500002432">
                  <w:marLeft w:val="0"/>
                  <w:marRight w:val="0"/>
                  <w:marTop w:val="0"/>
                  <w:marBottom w:val="0"/>
                  <w:divBdr>
                    <w:top w:val="none" w:sz="0" w:space="0" w:color="auto"/>
                    <w:left w:val="none" w:sz="0" w:space="0" w:color="auto"/>
                    <w:bottom w:val="none" w:sz="0" w:space="0" w:color="auto"/>
                    <w:right w:val="none" w:sz="0" w:space="0" w:color="auto"/>
                  </w:divBdr>
                  <w:divsChild>
                    <w:div w:id="362827562">
                      <w:marLeft w:val="0"/>
                      <w:marRight w:val="0"/>
                      <w:marTop w:val="0"/>
                      <w:marBottom w:val="502"/>
                      <w:divBdr>
                        <w:top w:val="none" w:sz="0" w:space="0" w:color="auto"/>
                        <w:left w:val="none" w:sz="0" w:space="0" w:color="auto"/>
                        <w:bottom w:val="none" w:sz="0" w:space="0" w:color="auto"/>
                        <w:right w:val="none" w:sz="0" w:space="0" w:color="auto"/>
                      </w:divBdr>
                      <w:divsChild>
                        <w:div w:id="2091536246">
                          <w:marLeft w:val="0"/>
                          <w:marRight w:val="0"/>
                          <w:marTop w:val="0"/>
                          <w:marBottom w:val="0"/>
                          <w:divBdr>
                            <w:top w:val="none" w:sz="0" w:space="0" w:color="auto"/>
                            <w:left w:val="none" w:sz="0" w:space="0" w:color="auto"/>
                            <w:bottom w:val="none" w:sz="0" w:space="0" w:color="auto"/>
                            <w:right w:val="none" w:sz="0" w:space="0" w:color="auto"/>
                          </w:divBdr>
                          <w:divsChild>
                            <w:div w:id="1368023056">
                              <w:marLeft w:val="-1340"/>
                              <w:marRight w:val="0"/>
                              <w:marTop w:val="0"/>
                              <w:marBottom w:val="368"/>
                              <w:divBdr>
                                <w:top w:val="none" w:sz="0" w:space="0" w:color="auto"/>
                                <w:left w:val="none" w:sz="0" w:space="0" w:color="auto"/>
                                <w:bottom w:val="none" w:sz="0" w:space="0" w:color="auto"/>
                                <w:right w:val="none" w:sz="0" w:space="0" w:color="auto"/>
                              </w:divBdr>
                              <w:divsChild>
                                <w:div w:id="409425458">
                                  <w:marLeft w:val="0"/>
                                  <w:marRight w:val="0"/>
                                  <w:marTop w:val="0"/>
                                  <w:marBottom w:val="0"/>
                                  <w:divBdr>
                                    <w:top w:val="none" w:sz="0" w:space="0" w:color="auto"/>
                                    <w:left w:val="none" w:sz="0" w:space="0" w:color="auto"/>
                                    <w:bottom w:val="none" w:sz="0" w:space="0" w:color="auto"/>
                                    <w:right w:val="none" w:sz="0" w:space="0" w:color="auto"/>
                                  </w:divBdr>
                                  <w:divsChild>
                                    <w:div w:id="17415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0198">
                          <w:marLeft w:val="0"/>
                          <w:marRight w:val="0"/>
                          <w:marTop w:val="0"/>
                          <w:marBottom w:val="301"/>
                          <w:divBdr>
                            <w:top w:val="none" w:sz="0" w:space="0" w:color="auto"/>
                            <w:left w:val="none" w:sz="0" w:space="0" w:color="auto"/>
                            <w:bottom w:val="none" w:sz="0" w:space="0" w:color="auto"/>
                            <w:right w:val="none" w:sz="0" w:space="0" w:color="auto"/>
                          </w:divBdr>
                          <w:divsChild>
                            <w:div w:id="1134832655">
                              <w:marLeft w:val="0"/>
                              <w:marRight w:val="2512"/>
                              <w:marTop w:val="0"/>
                              <w:marBottom w:val="33"/>
                              <w:divBdr>
                                <w:top w:val="none" w:sz="0" w:space="0" w:color="auto"/>
                                <w:left w:val="none" w:sz="0" w:space="0" w:color="auto"/>
                                <w:bottom w:val="none" w:sz="0" w:space="0" w:color="auto"/>
                                <w:right w:val="none" w:sz="0" w:space="0" w:color="auto"/>
                              </w:divBdr>
                              <w:divsChild>
                                <w:div w:id="257368111">
                                  <w:marLeft w:val="0"/>
                                  <w:marRight w:val="0"/>
                                  <w:marTop w:val="0"/>
                                  <w:marBottom w:val="0"/>
                                  <w:divBdr>
                                    <w:top w:val="none" w:sz="0" w:space="0" w:color="auto"/>
                                    <w:left w:val="none" w:sz="0" w:space="0" w:color="auto"/>
                                    <w:bottom w:val="none" w:sz="0" w:space="0" w:color="auto"/>
                                    <w:right w:val="none" w:sz="0" w:space="0" w:color="auto"/>
                                  </w:divBdr>
                                </w:div>
                              </w:divsChild>
                            </w:div>
                            <w:div w:id="1365522727">
                              <w:marLeft w:val="0"/>
                              <w:marRight w:val="0"/>
                              <w:marTop w:val="0"/>
                              <w:marBottom w:val="0"/>
                              <w:divBdr>
                                <w:top w:val="none" w:sz="0" w:space="0" w:color="auto"/>
                                <w:left w:val="none" w:sz="0" w:space="0" w:color="auto"/>
                                <w:bottom w:val="none" w:sz="0" w:space="0" w:color="auto"/>
                                <w:right w:val="none" w:sz="0" w:space="0" w:color="auto"/>
                              </w:divBdr>
                            </w:div>
                          </w:divsChild>
                        </w:div>
                        <w:div w:id="2142527327">
                          <w:marLeft w:val="0"/>
                          <w:marRight w:val="502"/>
                          <w:marTop w:val="50"/>
                          <w:marBottom w:val="385"/>
                          <w:divBdr>
                            <w:top w:val="none" w:sz="0" w:space="0" w:color="auto"/>
                            <w:left w:val="none" w:sz="0" w:space="0" w:color="auto"/>
                            <w:bottom w:val="none" w:sz="0" w:space="0" w:color="auto"/>
                            <w:right w:val="none" w:sz="0" w:space="0" w:color="auto"/>
                          </w:divBdr>
                          <w:divsChild>
                            <w:div w:id="1705787937">
                              <w:marLeft w:val="0"/>
                              <w:marRight w:val="0"/>
                              <w:marTop w:val="0"/>
                              <w:marBottom w:val="0"/>
                              <w:divBdr>
                                <w:top w:val="none" w:sz="0" w:space="0" w:color="auto"/>
                                <w:left w:val="none" w:sz="0" w:space="0" w:color="auto"/>
                                <w:bottom w:val="none" w:sz="0" w:space="0" w:color="auto"/>
                                <w:right w:val="none" w:sz="0" w:space="0" w:color="auto"/>
                              </w:divBdr>
                            </w:div>
                          </w:divsChild>
                        </w:div>
                        <w:div w:id="1108306284">
                          <w:marLeft w:val="0"/>
                          <w:marRight w:val="0"/>
                          <w:marTop w:val="0"/>
                          <w:marBottom w:val="0"/>
                          <w:divBdr>
                            <w:top w:val="none" w:sz="0" w:space="0" w:color="auto"/>
                            <w:left w:val="none" w:sz="0" w:space="0" w:color="auto"/>
                            <w:bottom w:val="none" w:sz="0" w:space="0" w:color="auto"/>
                            <w:right w:val="none" w:sz="0" w:space="0" w:color="auto"/>
                          </w:divBdr>
                          <w:divsChild>
                            <w:div w:id="1510095838">
                              <w:marLeft w:val="0"/>
                              <w:marRight w:val="0"/>
                              <w:marTop w:val="201"/>
                              <w:marBottom w:val="0"/>
                              <w:divBdr>
                                <w:top w:val="none" w:sz="0" w:space="0" w:color="auto"/>
                                <w:left w:val="none" w:sz="0" w:space="0" w:color="auto"/>
                                <w:bottom w:val="none" w:sz="0" w:space="0" w:color="auto"/>
                                <w:right w:val="none" w:sz="0" w:space="0" w:color="auto"/>
                              </w:divBdr>
                            </w:div>
                          </w:divsChild>
                        </w:div>
                        <w:div w:id="328027166">
                          <w:marLeft w:val="0"/>
                          <w:marRight w:val="0"/>
                          <w:marTop w:val="368"/>
                          <w:marBottom w:val="368"/>
                          <w:divBdr>
                            <w:top w:val="none" w:sz="0" w:space="0" w:color="auto"/>
                            <w:left w:val="none" w:sz="0" w:space="0" w:color="auto"/>
                            <w:bottom w:val="none" w:sz="0" w:space="0" w:color="auto"/>
                            <w:right w:val="none" w:sz="0" w:space="0" w:color="auto"/>
                          </w:divBdr>
                          <w:divsChild>
                            <w:div w:id="1669599297">
                              <w:marLeft w:val="0"/>
                              <w:marRight w:val="0"/>
                              <w:marTop w:val="0"/>
                              <w:marBottom w:val="0"/>
                              <w:divBdr>
                                <w:top w:val="none" w:sz="0" w:space="0" w:color="auto"/>
                                <w:left w:val="none" w:sz="0" w:space="0" w:color="auto"/>
                                <w:bottom w:val="none" w:sz="0" w:space="0" w:color="auto"/>
                                <w:right w:val="none" w:sz="0" w:space="0" w:color="auto"/>
                              </w:divBdr>
                              <w:divsChild>
                                <w:div w:id="20229733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370738077">
                          <w:marLeft w:val="0"/>
                          <w:marRight w:val="0"/>
                          <w:marTop w:val="368"/>
                          <w:marBottom w:val="368"/>
                          <w:divBdr>
                            <w:top w:val="none" w:sz="0" w:space="0" w:color="auto"/>
                            <w:left w:val="none" w:sz="0" w:space="0" w:color="auto"/>
                            <w:bottom w:val="none" w:sz="0" w:space="0" w:color="auto"/>
                            <w:right w:val="none" w:sz="0" w:space="0" w:color="auto"/>
                          </w:divBdr>
                          <w:divsChild>
                            <w:div w:id="599727523">
                              <w:marLeft w:val="0"/>
                              <w:marRight w:val="0"/>
                              <w:marTop w:val="0"/>
                              <w:marBottom w:val="0"/>
                              <w:divBdr>
                                <w:top w:val="none" w:sz="0" w:space="0" w:color="auto"/>
                                <w:left w:val="none" w:sz="0" w:space="0" w:color="auto"/>
                                <w:bottom w:val="none" w:sz="0" w:space="0" w:color="auto"/>
                                <w:right w:val="none" w:sz="0" w:space="0" w:color="auto"/>
                              </w:divBdr>
                              <w:divsChild>
                                <w:div w:id="92434575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652294192">
                          <w:marLeft w:val="0"/>
                          <w:marRight w:val="0"/>
                          <w:marTop w:val="368"/>
                          <w:marBottom w:val="368"/>
                          <w:divBdr>
                            <w:top w:val="none" w:sz="0" w:space="0" w:color="auto"/>
                            <w:left w:val="none" w:sz="0" w:space="0" w:color="auto"/>
                            <w:bottom w:val="none" w:sz="0" w:space="0" w:color="auto"/>
                            <w:right w:val="none" w:sz="0" w:space="0" w:color="auto"/>
                          </w:divBdr>
                          <w:divsChild>
                            <w:div w:id="1887715168">
                              <w:marLeft w:val="0"/>
                              <w:marRight w:val="0"/>
                              <w:marTop w:val="0"/>
                              <w:marBottom w:val="0"/>
                              <w:divBdr>
                                <w:top w:val="none" w:sz="0" w:space="0" w:color="auto"/>
                                <w:left w:val="none" w:sz="0" w:space="0" w:color="auto"/>
                                <w:bottom w:val="none" w:sz="0" w:space="0" w:color="auto"/>
                                <w:right w:val="none" w:sz="0" w:space="0" w:color="auto"/>
                              </w:divBdr>
                              <w:divsChild>
                                <w:div w:id="37889388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711659420">
                          <w:marLeft w:val="0"/>
                          <w:marRight w:val="0"/>
                          <w:marTop w:val="368"/>
                          <w:marBottom w:val="368"/>
                          <w:divBdr>
                            <w:top w:val="none" w:sz="0" w:space="0" w:color="auto"/>
                            <w:left w:val="none" w:sz="0" w:space="0" w:color="auto"/>
                            <w:bottom w:val="none" w:sz="0" w:space="0" w:color="auto"/>
                            <w:right w:val="none" w:sz="0" w:space="0" w:color="auto"/>
                          </w:divBdr>
                          <w:divsChild>
                            <w:div w:id="481964317">
                              <w:marLeft w:val="0"/>
                              <w:marRight w:val="0"/>
                              <w:marTop w:val="0"/>
                              <w:marBottom w:val="0"/>
                              <w:divBdr>
                                <w:top w:val="none" w:sz="0" w:space="0" w:color="auto"/>
                                <w:left w:val="none" w:sz="0" w:space="0" w:color="auto"/>
                                <w:bottom w:val="none" w:sz="0" w:space="0" w:color="auto"/>
                                <w:right w:val="none" w:sz="0" w:space="0" w:color="auto"/>
                              </w:divBdr>
                              <w:divsChild>
                                <w:div w:id="188124297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603223507">
                          <w:marLeft w:val="0"/>
                          <w:marRight w:val="0"/>
                          <w:marTop w:val="368"/>
                          <w:marBottom w:val="368"/>
                          <w:divBdr>
                            <w:top w:val="none" w:sz="0" w:space="0" w:color="auto"/>
                            <w:left w:val="none" w:sz="0" w:space="0" w:color="auto"/>
                            <w:bottom w:val="none" w:sz="0" w:space="0" w:color="auto"/>
                            <w:right w:val="none" w:sz="0" w:space="0" w:color="auto"/>
                          </w:divBdr>
                          <w:divsChild>
                            <w:div w:id="1707363299">
                              <w:marLeft w:val="0"/>
                              <w:marRight w:val="0"/>
                              <w:marTop w:val="0"/>
                              <w:marBottom w:val="0"/>
                              <w:divBdr>
                                <w:top w:val="none" w:sz="0" w:space="0" w:color="auto"/>
                                <w:left w:val="none" w:sz="0" w:space="0" w:color="auto"/>
                                <w:bottom w:val="none" w:sz="0" w:space="0" w:color="auto"/>
                                <w:right w:val="none" w:sz="0" w:space="0" w:color="auto"/>
                              </w:divBdr>
                              <w:divsChild>
                                <w:div w:id="178403322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fed-raises-rates-after-seven-years-at-zero-expects-gradual-tightening-path-1450292616" TargetMode="External"/><Relationship Id="rId13" Type="http://schemas.openxmlformats.org/officeDocument/2006/relationships/hyperlink" Target="http://quotes.wsj.com/AFL" TargetMode="External"/><Relationship Id="rId18" Type="http://schemas.openxmlformats.org/officeDocument/2006/relationships/hyperlink" Target="http://www.wsj.com/articles/china-slowdown-stokes-fears-on-peak-oil-demand-14537362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sj.com/articles/nymex-crude-slips-below-27-a-barrel-1455166651" TargetMode="External"/><Relationship Id="rId12" Type="http://schemas.openxmlformats.org/officeDocument/2006/relationships/hyperlink" Target="http://quotes.wsj.com/TIF"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wsj.com/articles/u-s-factory-activity-contracts-in-january-14543398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sj.com/articles/global-stocks-slide-after-fed-sparks-investor-concerns-1455181311" TargetMode="External"/><Relationship Id="rId11" Type="http://schemas.openxmlformats.org/officeDocument/2006/relationships/image" Target="media/image2.jpeg"/><Relationship Id="rId5" Type="http://schemas.openxmlformats.org/officeDocument/2006/relationships/hyperlink" Target="http://www.wsj.com/articles/whats-going-on-in-the-markets-5-theories-to-explain-the-chaos-1455134784" TargetMode="Externa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quotes.wsj.com/JP/XTKS/8301" TargetMode="External"/><Relationship Id="rId14" Type="http://schemas.openxmlformats.org/officeDocument/2006/relationships/hyperlink" Target="http://quotes.wsj.com/J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1030</Words>
  <Characters>5872</Characters>
  <Application>Microsoft Office Word</Application>
  <DocSecurity>0</DocSecurity>
  <Lines>48</Lines>
  <Paragraphs>13</Paragraphs>
  <ScaleCrop>false</ScaleCrop>
  <Company>Grizli777</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2016-02-21T07:38:00Z</dcterms:created>
  <dcterms:modified xsi:type="dcterms:W3CDTF">2016-02-21T07:44:00Z</dcterms:modified>
</cp:coreProperties>
</file>